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3423A" w14:textId="77777777" w:rsidR="00871359" w:rsidRPr="009A5D5D" w:rsidRDefault="00871359" w:rsidP="00921E55">
      <w:pPr>
        <w:tabs>
          <w:tab w:val="right" w:pos="6122"/>
        </w:tabs>
        <w:spacing w:after="160" w:line="259" w:lineRule="auto"/>
        <w:jc w:val="right"/>
        <w:rPr>
          <w:color w:val="000000" w:themeColor="text1"/>
        </w:rPr>
      </w:pPr>
    </w:p>
    <w:tbl>
      <w:tblPr>
        <w:tblStyle w:val="Tabladecuadrcula4-nfasis5"/>
        <w:tblW w:w="4936" w:type="pct"/>
        <w:tblLook w:val="04A0" w:firstRow="1" w:lastRow="0" w:firstColumn="1" w:lastColumn="0" w:noHBand="0" w:noVBand="1"/>
      </w:tblPr>
      <w:tblGrid>
        <w:gridCol w:w="1993"/>
        <w:gridCol w:w="1803"/>
        <w:gridCol w:w="1444"/>
        <w:gridCol w:w="186"/>
        <w:gridCol w:w="1899"/>
        <w:gridCol w:w="2789"/>
      </w:tblGrid>
      <w:tr w:rsidR="009A5D5D" w:rsidRPr="009A5D5D" w14:paraId="20647D5F" w14:textId="77777777" w:rsidTr="00375ED6">
        <w:trPr>
          <w:cnfStyle w:val="100000000000" w:firstRow="1" w:lastRow="0" w:firstColumn="0" w:lastColumn="0" w:oddVBand="0" w:evenVBand="0" w:oddHBand="0"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5000" w:type="pct"/>
            <w:gridSpan w:val="6"/>
          </w:tcPr>
          <w:p w14:paraId="418112EE" w14:textId="77777777" w:rsidR="00137AF7" w:rsidRPr="009A5D5D" w:rsidRDefault="00137AF7" w:rsidP="004129A6">
            <w:pPr>
              <w:jc w:val="center"/>
              <w:rPr>
                <w:rFonts w:cs="Arial"/>
                <w:b w:val="0"/>
                <w:color w:val="000000" w:themeColor="text1"/>
                <w:sz w:val="18"/>
                <w:szCs w:val="18"/>
              </w:rPr>
            </w:pPr>
          </w:p>
          <w:p w14:paraId="584D167C" w14:textId="01BD851A" w:rsidR="00137AF7" w:rsidRPr="009A5D5D" w:rsidRDefault="00137AF7" w:rsidP="001E5632">
            <w:pPr>
              <w:jc w:val="center"/>
              <w:rPr>
                <w:rFonts w:cs="Arial"/>
                <w:b w:val="0"/>
                <w:color w:val="000000" w:themeColor="text1"/>
                <w:sz w:val="18"/>
                <w:szCs w:val="18"/>
              </w:rPr>
            </w:pPr>
            <w:r w:rsidRPr="009A5D5D">
              <w:rPr>
                <w:rFonts w:cs="Arial"/>
                <w:color w:val="000000" w:themeColor="text1"/>
                <w:sz w:val="22"/>
                <w:szCs w:val="18"/>
              </w:rPr>
              <w:t>PON POR EMERGENCIA CON ACPM</w:t>
            </w:r>
          </w:p>
        </w:tc>
      </w:tr>
      <w:tr w:rsidR="009A5D5D" w:rsidRPr="009A5D5D" w14:paraId="59F1A20D"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A2A75AF" w14:textId="77777777" w:rsidR="00137AF7" w:rsidRPr="009A5D5D" w:rsidRDefault="00137AF7" w:rsidP="004129A6">
            <w:pPr>
              <w:rPr>
                <w:rFonts w:cs="Arial"/>
                <w:b w:val="0"/>
                <w:i/>
                <w:color w:val="000000" w:themeColor="text1"/>
                <w:sz w:val="18"/>
                <w:szCs w:val="18"/>
              </w:rPr>
            </w:pPr>
            <w:r w:rsidRPr="009A5D5D">
              <w:rPr>
                <w:rFonts w:cs="Arial"/>
                <w:b w:val="0"/>
                <w:iCs/>
                <w:color w:val="000000" w:themeColor="text1"/>
                <w:sz w:val="18"/>
                <w:szCs w:val="18"/>
              </w:rPr>
              <w:t>Las acciones de control de la emergencia que aquí se presentan son una guía, y podrán ser modificadas o complementadas por el comandante del incidente, Responsable Gestión Ambiental / Brigadista de Emergencia Ambiental, de acuerdo con las condiciones particulares en el momento de la emergencia, su evolución, los recursos disponibles en el momento de la emergencia, las condiciones de tiempo atmosférico, seguridad física.</w:t>
            </w:r>
          </w:p>
        </w:tc>
      </w:tr>
      <w:tr w:rsidR="009A5D5D" w:rsidRPr="009A5D5D" w14:paraId="02399E35" w14:textId="77777777" w:rsidTr="00375ED6">
        <w:tc>
          <w:tcPr>
            <w:cnfStyle w:val="001000000000" w:firstRow="0" w:lastRow="0" w:firstColumn="1" w:lastColumn="0" w:oddVBand="0" w:evenVBand="0" w:oddHBand="0" w:evenHBand="0" w:firstRowFirstColumn="0" w:firstRowLastColumn="0" w:lastRowFirstColumn="0" w:lastRowLastColumn="0"/>
            <w:tcW w:w="5000" w:type="pct"/>
            <w:gridSpan w:val="6"/>
          </w:tcPr>
          <w:p w14:paraId="25E2A0A5"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t>ESCENARIO DE EMERGENCIA</w:t>
            </w:r>
          </w:p>
        </w:tc>
      </w:tr>
      <w:tr w:rsidR="009A5D5D" w:rsidRPr="009A5D5D" w14:paraId="4DBFDB1D"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tcPr>
          <w:p w14:paraId="7776F692" w14:textId="77777777" w:rsidR="00137AF7" w:rsidRPr="009A5D5D" w:rsidRDefault="00137AF7" w:rsidP="004129A6">
            <w:pPr>
              <w:rPr>
                <w:rFonts w:cs="Arial"/>
                <w:b w:val="0"/>
                <w:color w:val="000000" w:themeColor="text1"/>
                <w:sz w:val="18"/>
                <w:szCs w:val="18"/>
              </w:rPr>
            </w:pPr>
            <w:r w:rsidRPr="009A5D5D">
              <w:rPr>
                <w:rFonts w:cs="Arial"/>
                <w:color w:val="000000" w:themeColor="text1"/>
                <w:sz w:val="18"/>
                <w:szCs w:val="18"/>
              </w:rPr>
              <w:t>Nombre del escenario</w:t>
            </w:r>
          </w:p>
        </w:tc>
        <w:tc>
          <w:tcPr>
            <w:tcW w:w="4015" w:type="pct"/>
            <w:gridSpan w:val="5"/>
          </w:tcPr>
          <w:p w14:paraId="29DE3C66"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Derrame de ACPM</w:t>
            </w:r>
          </w:p>
        </w:tc>
      </w:tr>
      <w:tr w:rsidR="009A5D5D" w:rsidRPr="009A5D5D" w14:paraId="099C188C" w14:textId="77777777" w:rsidTr="00375ED6">
        <w:tc>
          <w:tcPr>
            <w:cnfStyle w:val="001000000000" w:firstRow="0" w:lastRow="0" w:firstColumn="1" w:lastColumn="0" w:oddVBand="0" w:evenVBand="0" w:oddHBand="0" w:evenHBand="0" w:firstRowFirstColumn="0" w:firstRowLastColumn="0" w:lastRowFirstColumn="0" w:lastRowLastColumn="0"/>
            <w:tcW w:w="985" w:type="pct"/>
          </w:tcPr>
          <w:p w14:paraId="5445BB01" w14:textId="77777777" w:rsidR="00137AF7" w:rsidRPr="009A5D5D" w:rsidRDefault="00137AF7" w:rsidP="004129A6">
            <w:pPr>
              <w:rPr>
                <w:rFonts w:cs="Arial"/>
                <w:b w:val="0"/>
                <w:color w:val="000000" w:themeColor="text1"/>
                <w:sz w:val="18"/>
                <w:szCs w:val="18"/>
              </w:rPr>
            </w:pPr>
            <w:r w:rsidRPr="009A5D5D">
              <w:rPr>
                <w:rFonts w:cs="Arial"/>
                <w:color w:val="000000" w:themeColor="text1"/>
                <w:sz w:val="18"/>
                <w:szCs w:val="18"/>
              </w:rPr>
              <w:t>Instalación /Localización</w:t>
            </w:r>
          </w:p>
        </w:tc>
        <w:tc>
          <w:tcPr>
            <w:tcW w:w="4015" w:type="pct"/>
            <w:gridSpan w:val="5"/>
          </w:tcPr>
          <w:p w14:paraId="1223FC8B" w14:textId="0D75C3C9"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Tanque de ACPM </w:t>
            </w:r>
          </w:p>
        </w:tc>
      </w:tr>
      <w:tr w:rsidR="009A5D5D" w:rsidRPr="009A5D5D" w14:paraId="26AD4BB6"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466613D"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t>Características</w:t>
            </w:r>
          </w:p>
        </w:tc>
      </w:tr>
      <w:tr w:rsidR="009A5D5D" w:rsidRPr="009A5D5D" w14:paraId="6E213FD1" w14:textId="77777777" w:rsidTr="00375ED6">
        <w:tc>
          <w:tcPr>
            <w:cnfStyle w:val="001000000000" w:firstRow="0" w:lastRow="0" w:firstColumn="1" w:lastColumn="0" w:oddVBand="0" w:evenVBand="0" w:oddHBand="0" w:evenHBand="0" w:firstRowFirstColumn="0" w:firstRowLastColumn="0" w:lastRowFirstColumn="0" w:lastRowLastColumn="0"/>
            <w:tcW w:w="2682" w:type="pct"/>
            <w:gridSpan w:val="4"/>
          </w:tcPr>
          <w:p w14:paraId="613E43D5"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t>Identificación del producto</w:t>
            </w:r>
          </w:p>
        </w:tc>
        <w:tc>
          <w:tcPr>
            <w:tcW w:w="2318" w:type="pct"/>
            <w:gridSpan w:val="2"/>
          </w:tcPr>
          <w:p w14:paraId="2CBD1D7E"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Condiciones operativas</w:t>
            </w:r>
          </w:p>
        </w:tc>
      </w:tr>
      <w:tr w:rsidR="009A5D5D" w:rsidRPr="009A5D5D" w14:paraId="2D49ACBF"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tcPr>
          <w:p w14:paraId="0C9A14FD" w14:textId="77777777" w:rsidR="00137AF7" w:rsidRPr="009A5D5D" w:rsidRDefault="00137AF7" w:rsidP="004129A6">
            <w:pPr>
              <w:jc w:val="right"/>
              <w:rPr>
                <w:rFonts w:cs="Arial"/>
                <w:b w:val="0"/>
                <w:color w:val="000000" w:themeColor="text1"/>
                <w:sz w:val="18"/>
                <w:szCs w:val="18"/>
              </w:rPr>
            </w:pPr>
            <w:r w:rsidRPr="009A5D5D">
              <w:rPr>
                <w:rFonts w:cs="Arial"/>
                <w:color w:val="000000" w:themeColor="text1"/>
                <w:sz w:val="18"/>
                <w:szCs w:val="18"/>
              </w:rPr>
              <w:t>Nombre:</w:t>
            </w:r>
          </w:p>
        </w:tc>
        <w:tc>
          <w:tcPr>
            <w:tcW w:w="1697" w:type="pct"/>
            <w:gridSpan w:val="3"/>
          </w:tcPr>
          <w:p w14:paraId="0E23DC4B"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lang w:val="en-US"/>
              </w:rPr>
            </w:pPr>
            <w:r w:rsidRPr="009A5D5D">
              <w:rPr>
                <w:rFonts w:cs="Arial"/>
                <w:color w:val="000000" w:themeColor="text1"/>
                <w:sz w:val="18"/>
                <w:szCs w:val="18"/>
              </w:rPr>
              <w:t>Crudo</w:t>
            </w:r>
          </w:p>
        </w:tc>
        <w:tc>
          <w:tcPr>
            <w:tcW w:w="939" w:type="pct"/>
          </w:tcPr>
          <w:p w14:paraId="10C6ED6F" w14:textId="77777777" w:rsidR="00137AF7" w:rsidRPr="009A5D5D" w:rsidRDefault="00137AF7" w:rsidP="004129A6">
            <w:pPr>
              <w:jc w:val="righ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Solubilidad:</w:t>
            </w:r>
          </w:p>
        </w:tc>
        <w:tc>
          <w:tcPr>
            <w:tcW w:w="1379" w:type="pct"/>
          </w:tcPr>
          <w:p w14:paraId="3A8F7A0A"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En agua despreciable (&lt;0.1%). Soluble en éter, cloroformo y solventes derivados del petróleo.</w:t>
            </w:r>
          </w:p>
        </w:tc>
      </w:tr>
      <w:tr w:rsidR="009A5D5D" w:rsidRPr="009A5D5D" w14:paraId="283339D6" w14:textId="77777777" w:rsidTr="00375ED6">
        <w:trPr>
          <w:trHeight w:val="109"/>
        </w:trPr>
        <w:tc>
          <w:tcPr>
            <w:cnfStyle w:val="001000000000" w:firstRow="0" w:lastRow="0" w:firstColumn="1" w:lastColumn="0" w:oddVBand="0" w:evenVBand="0" w:oddHBand="0" w:evenHBand="0" w:firstRowFirstColumn="0" w:firstRowLastColumn="0" w:lastRowFirstColumn="0" w:lastRowLastColumn="0"/>
            <w:tcW w:w="985" w:type="pct"/>
            <w:vMerge w:val="restart"/>
          </w:tcPr>
          <w:p w14:paraId="7E74F06D" w14:textId="77777777" w:rsidR="00137AF7" w:rsidRPr="009A5D5D" w:rsidRDefault="00137AF7" w:rsidP="004129A6">
            <w:pPr>
              <w:jc w:val="right"/>
              <w:rPr>
                <w:rFonts w:cs="Arial"/>
                <w:b w:val="0"/>
                <w:color w:val="000000" w:themeColor="text1"/>
                <w:sz w:val="18"/>
                <w:szCs w:val="18"/>
              </w:rPr>
            </w:pPr>
            <w:r w:rsidRPr="009A5D5D">
              <w:rPr>
                <w:rFonts w:cs="Arial"/>
                <w:color w:val="000000" w:themeColor="text1"/>
                <w:sz w:val="18"/>
                <w:szCs w:val="18"/>
              </w:rPr>
              <w:t>Peligrosidad:</w:t>
            </w:r>
          </w:p>
        </w:tc>
        <w:tc>
          <w:tcPr>
            <w:tcW w:w="891" w:type="pct"/>
            <w:vMerge w:val="restart"/>
          </w:tcPr>
          <w:p w14:paraId="67388C04"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CAS [68476-30-2, 68476-34-6, 68334-30-5, 68474-34-6]</w:t>
            </w:r>
          </w:p>
        </w:tc>
        <w:tc>
          <w:tcPr>
            <w:tcW w:w="806" w:type="pct"/>
            <w:gridSpan w:val="2"/>
            <w:vMerge w:val="restart"/>
          </w:tcPr>
          <w:p w14:paraId="7F60708F" w14:textId="77777777"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noProof/>
                <w:color w:val="000000" w:themeColor="text1"/>
                <w:sz w:val="18"/>
                <w:szCs w:val="18"/>
                <w:lang w:eastAsia="es-CO"/>
              </w:rPr>
            </w:pPr>
            <w:r w:rsidRPr="009A5D5D">
              <w:rPr>
                <w:rFonts w:cs="Arial"/>
                <w:noProof/>
                <w:color w:val="000000" w:themeColor="text1"/>
                <w:sz w:val="18"/>
                <w:szCs w:val="18"/>
                <w:lang w:eastAsia="es-CO"/>
              </w:rPr>
              <w:drawing>
                <wp:anchor distT="0" distB="0" distL="114300" distR="114300" simplePos="0" relativeHeight="252432384" behindDoc="1" locked="0" layoutInCell="1" allowOverlap="1" wp14:anchorId="41C26D55" wp14:editId="5AE91FE8">
                  <wp:simplePos x="0" y="0"/>
                  <wp:positionH relativeFrom="column">
                    <wp:posOffset>-17780</wp:posOffset>
                  </wp:positionH>
                  <wp:positionV relativeFrom="paragraph">
                    <wp:posOffset>30239</wp:posOffset>
                  </wp:positionV>
                  <wp:extent cx="841845" cy="704850"/>
                  <wp:effectExtent l="0" t="0" r="0" b="0"/>
                  <wp:wrapTight wrapText="bothSides">
                    <wp:wrapPolygon edited="0">
                      <wp:start x="0" y="0"/>
                      <wp:lineTo x="0" y="21016"/>
                      <wp:lineTo x="21029" y="21016"/>
                      <wp:lineTo x="21029" y="0"/>
                      <wp:lineTo x="0" y="0"/>
                    </wp:wrapPolygon>
                  </wp:wrapTight>
                  <wp:docPr id="122" name="Imagen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1845" cy="704850"/>
                          </a:xfrm>
                          <a:prstGeom prst="rect">
                            <a:avLst/>
                          </a:prstGeom>
                        </pic:spPr>
                      </pic:pic>
                    </a:graphicData>
                  </a:graphic>
                  <wp14:sizeRelH relativeFrom="margin">
                    <wp14:pctWidth>0</wp14:pctWidth>
                  </wp14:sizeRelH>
                  <wp14:sizeRelV relativeFrom="margin">
                    <wp14:pctHeight>0</wp14:pctHeight>
                  </wp14:sizeRelV>
                </wp:anchor>
              </w:drawing>
            </w:r>
            <w:r w:rsidRPr="009A5D5D">
              <w:rPr>
                <w:rFonts w:cs="Arial"/>
                <w:noProof/>
                <w:color w:val="000000" w:themeColor="text1"/>
                <w:sz w:val="18"/>
                <w:szCs w:val="18"/>
                <w:lang w:eastAsia="es-CO"/>
              </w:rPr>
              <w:t>Rombo NFPA</w:t>
            </w:r>
          </w:p>
        </w:tc>
        <w:tc>
          <w:tcPr>
            <w:tcW w:w="939" w:type="pct"/>
          </w:tcPr>
          <w:p w14:paraId="31CB0880" w14:textId="77777777" w:rsidR="00137AF7" w:rsidRPr="009A5D5D" w:rsidRDefault="00137AF7" w:rsidP="004129A6">
            <w:pPr>
              <w:jc w:val="righ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Presión:</w:t>
            </w:r>
          </w:p>
        </w:tc>
        <w:tc>
          <w:tcPr>
            <w:tcW w:w="1379" w:type="pct"/>
          </w:tcPr>
          <w:p w14:paraId="5511D55D"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9A5D5D">
              <w:rPr>
                <w:rFonts w:cs="Arial"/>
                <w:color w:val="000000" w:themeColor="text1"/>
                <w:sz w:val="18"/>
                <w:szCs w:val="18"/>
              </w:rPr>
              <w:t>Atmosférica</w:t>
            </w:r>
          </w:p>
        </w:tc>
      </w:tr>
      <w:tr w:rsidR="009A5D5D" w:rsidRPr="009A5D5D" w14:paraId="6A08914C"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vMerge/>
          </w:tcPr>
          <w:p w14:paraId="503E938B" w14:textId="77777777" w:rsidR="00137AF7" w:rsidRPr="009A5D5D" w:rsidRDefault="00137AF7" w:rsidP="004129A6">
            <w:pPr>
              <w:rPr>
                <w:rFonts w:cs="Arial"/>
                <w:color w:val="000000" w:themeColor="text1"/>
                <w:sz w:val="18"/>
                <w:szCs w:val="18"/>
              </w:rPr>
            </w:pPr>
          </w:p>
        </w:tc>
        <w:tc>
          <w:tcPr>
            <w:tcW w:w="891" w:type="pct"/>
            <w:vMerge/>
          </w:tcPr>
          <w:p w14:paraId="0BAF1C4F"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806" w:type="pct"/>
            <w:gridSpan w:val="2"/>
            <w:vMerge/>
          </w:tcPr>
          <w:p w14:paraId="57DDA9E3"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939" w:type="pct"/>
          </w:tcPr>
          <w:p w14:paraId="6DCB433A" w14:textId="77777777" w:rsidR="00137AF7" w:rsidRPr="009A5D5D" w:rsidRDefault="00137AF7" w:rsidP="004129A6">
            <w:pPr>
              <w:jc w:val="righ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Temperatura:</w:t>
            </w:r>
          </w:p>
        </w:tc>
        <w:tc>
          <w:tcPr>
            <w:tcW w:w="1379" w:type="pct"/>
          </w:tcPr>
          <w:p w14:paraId="29DEF924"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9A5D5D">
              <w:rPr>
                <w:rFonts w:cs="Arial"/>
                <w:color w:val="000000" w:themeColor="text1"/>
                <w:sz w:val="18"/>
                <w:szCs w:val="18"/>
              </w:rPr>
              <w:t>54 °C</w:t>
            </w:r>
          </w:p>
        </w:tc>
      </w:tr>
      <w:tr w:rsidR="009A5D5D" w:rsidRPr="009A5D5D" w14:paraId="367FC2D6" w14:textId="77777777" w:rsidTr="00375ED6">
        <w:tc>
          <w:tcPr>
            <w:cnfStyle w:val="001000000000" w:firstRow="0" w:lastRow="0" w:firstColumn="1" w:lastColumn="0" w:oddVBand="0" w:evenVBand="0" w:oddHBand="0" w:evenHBand="0" w:firstRowFirstColumn="0" w:firstRowLastColumn="0" w:lastRowFirstColumn="0" w:lastRowLastColumn="0"/>
            <w:tcW w:w="985" w:type="pct"/>
            <w:vMerge/>
          </w:tcPr>
          <w:p w14:paraId="65BB0BCA" w14:textId="77777777" w:rsidR="00137AF7" w:rsidRPr="009A5D5D" w:rsidRDefault="00137AF7" w:rsidP="004129A6">
            <w:pPr>
              <w:rPr>
                <w:rFonts w:cs="Arial"/>
                <w:color w:val="000000" w:themeColor="text1"/>
                <w:sz w:val="18"/>
                <w:szCs w:val="18"/>
              </w:rPr>
            </w:pPr>
          </w:p>
        </w:tc>
        <w:tc>
          <w:tcPr>
            <w:tcW w:w="891" w:type="pct"/>
            <w:vMerge/>
          </w:tcPr>
          <w:p w14:paraId="53C035E6"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806" w:type="pct"/>
            <w:gridSpan w:val="2"/>
            <w:vMerge/>
          </w:tcPr>
          <w:p w14:paraId="0FE09984"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939" w:type="pct"/>
          </w:tcPr>
          <w:p w14:paraId="366E1214" w14:textId="77777777" w:rsidR="00137AF7" w:rsidRPr="009A5D5D" w:rsidRDefault="00137AF7" w:rsidP="004129A6">
            <w:pPr>
              <w:jc w:val="righ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Límites de explosividad:</w:t>
            </w:r>
          </w:p>
        </w:tc>
        <w:tc>
          <w:tcPr>
            <w:tcW w:w="1379" w:type="pct"/>
          </w:tcPr>
          <w:p w14:paraId="37B85ACA"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Inferior: 1,3 %. Superior: 6%</w:t>
            </w:r>
          </w:p>
        </w:tc>
      </w:tr>
      <w:tr w:rsidR="009A5D5D" w:rsidRPr="009A5D5D" w14:paraId="2759A928"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vMerge/>
          </w:tcPr>
          <w:p w14:paraId="5E626235" w14:textId="77777777" w:rsidR="00137AF7" w:rsidRPr="009A5D5D" w:rsidRDefault="00137AF7" w:rsidP="004129A6">
            <w:pPr>
              <w:rPr>
                <w:rFonts w:cs="Arial"/>
                <w:color w:val="000000" w:themeColor="text1"/>
                <w:sz w:val="18"/>
                <w:szCs w:val="18"/>
              </w:rPr>
            </w:pPr>
          </w:p>
        </w:tc>
        <w:tc>
          <w:tcPr>
            <w:tcW w:w="891" w:type="pct"/>
            <w:vMerge/>
          </w:tcPr>
          <w:p w14:paraId="7F5E7C9E"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806" w:type="pct"/>
            <w:gridSpan w:val="2"/>
            <w:vMerge/>
          </w:tcPr>
          <w:p w14:paraId="66DFB2C8"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c>
          <w:tcPr>
            <w:tcW w:w="939" w:type="pct"/>
          </w:tcPr>
          <w:p w14:paraId="2EDA8663" w14:textId="77777777" w:rsidR="00137AF7" w:rsidRPr="009A5D5D" w:rsidRDefault="00137AF7" w:rsidP="004129A6">
            <w:pPr>
              <w:jc w:val="righ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Volumen:</w:t>
            </w:r>
          </w:p>
        </w:tc>
        <w:tc>
          <w:tcPr>
            <w:tcW w:w="1379" w:type="pct"/>
          </w:tcPr>
          <w:p w14:paraId="106254BE"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1000 galones – 100 galones </w:t>
            </w:r>
          </w:p>
        </w:tc>
      </w:tr>
      <w:tr w:rsidR="009A5D5D" w:rsidRPr="009A5D5D" w14:paraId="54188964" w14:textId="77777777" w:rsidTr="00375ED6">
        <w:trPr>
          <w:trHeight w:val="403"/>
        </w:trPr>
        <w:tc>
          <w:tcPr>
            <w:cnfStyle w:val="001000000000" w:firstRow="0" w:lastRow="0" w:firstColumn="1" w:lastColumn="0" w:oddVBand="0" w:evenVBand="0" w:oddHBand="0" w:evenHBand="0" w:firstRowFirstColumn="0" w:firstRowLastColumn="0" w:lastRowFirstColumn="0" w:lastRowLastColumn="0"/>
            <w:tcW w:w="985" w:type="pct"/>
            <w:vMerge/>
          </w:tcPr>
          <w:p w14:paraId="35BB3CD9" w14:textId="77777777" w:rsidR="00137AF7" w:rsidRPr="009A5D5D" w:rsidRDefault="00137AF7" w:rsidP="004129A6">
            <w:pPr>
              <w:rPr>
                <w:rFonts w:cs="Arial"/>
                <w:color w:val="000000" w:themeColor="text1"/>
                <w:sz w:val="18"/>
                <w:szCs w:val="18"/>
              </w:rPr>
            </w:pPr>
          </w:p>
        </w:tc>
        <w:tc>
          <w:tcPr>
            <w:tcW w:w="891" w:type="pct"/>
            <w:vMerge/>
          </w:tcPr>
          <w:p w14:paraId="6B1A1816"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806" w:type="pct"/>
            <w:gridSpan w:val="2"/>
            <w:vMerge/>
          </w:tcPr>
          <w:p w14:paraId="631AFA3A"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c>
          <w:tcPr>
            <w:tcW w:w="939" w:type="pct"/>
          </w:tcPr>
          <w:p w14:paraId="1CFE7530" w14:textId="77777777" w:rsidR="00137AF7" w:rsidRPr="009A5D5D" w:rsidRDefault="00137AF7" w:rsidP="004129A6">
            <w:pPr>
              <w:jc w:val="righ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Otro:</w:t>
            </w:r>
          </w:p>
        </w:tc>
        <w:tc>
          <w:tcPr>
            <w:tcW w:w="1379" w:type="pct"/>
          </w:tcPr>
          <w:p w14:paraId="68E27E6A"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70907B79"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4C5B95D9" w14:textId="77777777" w:rsidR="00137AF7" w:rsidRPr="009A5D5D" w:rsidRDefault="00137AF7" w:rsidP="004129A6">
            <w:pPr>
              <w:tabs>
                <w:tab w:val="left" w:pos="978"/>
                <w:tab w:val="center" w:pos="1420"/>
              </w:tabs>
              <w:jc w:val="center"/>
              <w:rPr>
                <w:rFonts w:cs="Arial"/>
                <w:b w:val="0"/>
                <w:color w:val="000000" w:themeColor="text1"/>
                <w:sz w:val="18"/>
                <w:szCs w:val="18"/>
              </w:rPr>
            </w:pPr>
            <w:r w:rsidRPr="009A5D5D">
              <w:rPr>
                <w:rFonts w:cs="Arial"/>
                <w:color w:val="000000" w:themeColor="text1"/>
                <w:sz w:val="18"/>
                <w:szCs w:val="18"/>
              </w:rPr>
              <w:t>Esquema</w:t>
            </w:r>
          </w:p>
        </w:tc>
      </w:tr>
      <w:tr w:rsidR="009A5D5D" w:rsidRPr="009A5D5D" w14:paraId="11A0C369" w14:textId="77777777" w:rsidTr="00375ED6">
        <w:tc>
          <w:tcPr>
            <w:cnfStyle w:val="001000000000" w:firstRow="0" w:lastRow="0" w:firstColumn="1" w:lastColumn="0" w:oddVBand="0" w:evenVBand="0" w:oddHBand="0" w:evenHBand="0" w:firstRowFirstColumn="0" w:firstRowLastColumn="0" w:lastRowFirstColumn="0" w:lastRowLastColumn="0"/>
            <w:tcW w:w="5000" w:type="pct"/>
            <w:gridSpan w:val="6"/>
          </w:tcPr>
          <w:p w14:paraId="71DDC265" w14:textId="77777777" w:rsidR="00137AF7" w:rsidRPr="009A5D5D" w:rsidRDefault="00137AF7" w:rsidP="004129A6">
            <w:pPr>
              <w:jc w:val="center"/>
              <w:rPr>
                <w:rFonts w:cs="Arial"/>
                <w:noProof/>
                <w:color w:val="000000" w:themeColor="text1"/>
                <w:sz w:val="18"/>
                <w:szCs w:val="18"/>
              </w:rPr>
            </w:pPr>
            <w:r w:rsidRPr="009A5D5D">
              <w:rPr>
                <w:rFonts w:cs="Arial"/>
                <w:noProof/>
                <w:color w:val="000000" w:themeColor="text1"/>
                <w:sz w:val="18"/>
                <w:szCs w:val="18"/>
              </w:rPr>
              <w:t xml:space="preserve">TANQUE DE ACPM </w:t>
            </w:r>
          </w:p>
          <w:p w14:paraId="63779D31" w14:textId="4BA98FE0" w:rsidR="00137AF7" w:rsidRPr="009A5D5D" w:rsidRDefault="00137AF7" w:rsidP="004129A6">
            <w:pPr>
              <w:jc w:val="center"/>
              <w:rPr>
                <w:rFonts w:cs="Arial"/>
                <w:noProof/>
                <w:color w:val="000000" w:themeColor="text1"/>
                <w:sz w:val="18"/>
                <w:szCs w:val="18"/>
              </w:rPr>
            </w:pPr>
          </w:p>
          <w:p w14:paraId="7ED64E6B" w14:textId="5EB1D55A" w:rsidR="00137AF7" w:rsidRPr="009A5D5D" w:rsidRDefault="001E5632" w:rsidP="004129A6">
            <w:pPr>
              <w:jc w:val="center"/>
              <w:rPr>
                <w:rFonts w:cs="Arial"/>
                <w:noProof/>
                <w:color w:val="000000" w:themeColor="text1"/>
                <w:sz w:val="18"/>
                <w:szCs w:val="18"/>
              </w:rPr>
            </w:pPr>
            <w:r w:rsidRPr="009A5D5D">
              <w:rPr>
                <w:rFonts w:cs="Arial"/>
                <w:noProof/>
                <w:color w:val="000000" w:themeColor="text1"/>
                <w:sz w:val="18"/>
                <w:szCs w:val="18"/>
                <w:lang w:eastAsia="es-CO"/>
              </w:rPr>
              <w:drawing>
                <wp:anchor distT="0" distB="0" distL="114300" distR="114300" simplePos="0" relativeHeight="252433408" behindDoc="0" locked="0" layoutInCell="1" allowOverlap="1" wp14:anchorId="06C4CF6A" wp14:editId="333488A5">
                  <wp:simplePos x="0" y="0"/>
                  <wp:positionH relativeFrom="column">
                    <wp:posOffset>3240405</wp:posOffset>
                  </wp:positionH>
                  <wp:positionV relativeFrom="paragraph">
                    <wp:posOffset>44450</wp:posOffset>
                  </wp:positionV>
                  <wp:extent cx="618490" cy="754380"/>
                  <wp:effectExtent l="0" t="0" r="0" b="7620"/>
                  <wp:wrapSquare wrapText="bothSides"/>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18490" cy="754380"/>
                          </a:xfrm>
                          <a:prstGeom prst="rect">
                            <a:avLst/>
                          </a:prstGeom>
                        </pic:spPr>
                      </pic:pic>
                    </a:graphicData>
                  </a:graphic>
                  <wp14:sizeRelH relativeFrom="margin">
                    <wp14:pctWidth>0</wp14:pctWidth>
                  </wp14:sizeRelH>
                  <wp14:sizeRelV relativeFrom="margin">
                    <wp14:pctHeight>0</wp14:pctHeight>
                  </wp14:sizeRelV>
                </wp:anchor>
              </w:drawing>
            </w:r>
            <w:r w:rsidRPr="009A5D5D">
              <w:rPr>
                <w:rFonts w:cs="Arial"/>
                <w:noProof/>
                <w:color w:val="000000" w:themeColor="text1"/>
                <w:sz w:val="18"/>
                <w:szCs w:val="18"/>
                <w:lang w:eastAsia="es-CO"/>
              </w:rPr>
              <w:drawing>
                <wp:inline distT="0" distB="0" distL="0" distR="0" wp14:anchorId="5B7158EF" wp14:editId="0E2C57D5">
                  <wp:extent cx="845731" cy="742950"/>
                  <wp:effectExtent l="0" t="0" r="0" b="0"/>
                  <wp:docPr id="15" name="Imagen 15" descr="C:\Users\USER\Downloads\WhatsApp Image 2022-09-06 at 9.02.14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WhatsApp Image 2022-09-06 at 9.02.14 AM.jpe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9845" b="39663"/>
                          <a:stretch/>
                        </pic:blipFill>
                        <pic:spPr bwMode="auto">
                          <a:xfrm>
                            <a:off x="0" y="0"/>
                            <a:ext cx="886072" cy="778388"/>
                          </a:xfrm>
                          <a:prstGeom prst="rect">
                            <a:avLst/>
                          </a:prstGeom>
                          <a:noFill/>
                          <a:ln>
                            <a:noFill/>
                          </a:ln>
                          <a:extLst>
                            <a:ext uri="{53640926-AAD7-44D8-BBD7-CCE9431645EC}">
                              <a14:shadowObscured xmlns:a14="http://schemas.microsoft.com/office/drawing/2010/main"/>
                            </a:ext>
                          </a:extLst>
                        </pic:spPr>
                      </pic:pic>
                    </a:graphicData>
                  </a:graphic>
                </wp:inline>
              </w:drawing>
            </w:r>
          </w:p>
          <w:p w14:paraId="7E8B551B" w14:textId="39787F21" w:rsidR="00137AF7" w:rsidRPr="009A5D5D" w:rsidRDefault="00137AF7" w:rsidP="004129A6">
            <w:pPr>
              <w:jc w:val="center"/>
              <w:rPr>
                <w:rFonts w:cs="Arial"/>
                <w:noProof/>
                <w:color w:val="000000" w:themeColor="text1"/>
                <w:sz w:val="18"/>
                <w:szCs w:val="18"/>
              </w:rPr>
            </w:pPr>
          </w:p>
          <w:p w14:paraId="733349BD" w14:textId="77777777" w:rsidR="00137AF7" w:rsidRPr="009A5D5D" w:rsidRDefault="00137AF7" w:rsidP="004129A6">
            <w:pPr>
              <w:jc w:val="center"/>
              <w:rPr>
                <w:rFonts w:cs="Arial"/>
                <w:color w:val="000000" w:themeColor="text1"/>
                <w:sz w:val="18"/>
                <w:szCs w:val="18"/>
              </w:rPr>
            </w:pPr>
          </w:p>
        </w:tc>
      </w:tr>
      <w:tr w:rsidR="009A5D5D" w:rsidRPr="009A5D5D" w14:paraId="324E05FC"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5F754E69" w14:textId="77777777" w:rsidR="00137AF7" w:rsidRPr="009A5D5D" w:rsidRDefault="00137AF7" w:rsidP="004129A6">
            <w:pPr>
              <w:jc w:val="center"/>
              <w:rPr>
                <w:rFonts w:cs="Arial"/>
                <w:b w:val="0"/>
                <w:bCs w:val="0"/>
                <w:color w:val="000000" w:themeColor="text1"/>
                <w:sz w:val="18"/>
                <w:szCs w:val="18"/>
              </w:rPr>
            </w:pPr>
            <w:r w:rsidRPr="009A5D5D">
              <w:rPr>
                <w:rFonts w:cs="Arial"/>
                <w:color w:val="000000" w:themeColor="text1"/>
                <w:sz w:val="18"/>
                <w:szCs w:val="18"/>
              </w:rPr>
              <w:t>Convenciones</w:t>
            </w:r>
          </w:p>
        </w:tc>
      </w:tr>
      <w:tr w:rsidR="009A5D5D" w:rsidRPr="009A5D5D" w14:paraId="7B346DE1" w14:textId="77777777" w:rsidTr="00375ED6">
        <w:trPr>
          <w:trHeight w:val="2131"/>
        </w:trPr>
        <w:tc>
          <w:tcPr>
            <w:cnfStyle w:val="001000000000" w:firstRow="0" w:lastRow="0" w:firstColumn="1" w:lastColumn="0" w:oddVBand="0" w:evenVBand="0" w:oddHBand="0" w:evenHBand="0" w:firstRowFirstColumn="0" w:firstRowLastColumn="0" w:lastRowFirstColumn="0" w:lastRowLastColumn="0"/>
            <w:tcW w:w="2590" w:type="pct"/>
            <w:gridSpan w:val="3"/>
          </w:tcPr>
          <w:p w14:paraId="76486757" w14:textId="77777777" w:rsidR="00137AF7" w:rsidRPr="009A5D5D" w:rsidRDefault="00137AF7" w:rsidP="004129A6">
            <w:pPr>
              <w:jc w:val="center"/>
              <w:rPr>
                <w:rFonts w:cs="Arial"/>
                <w:color w:val="000000" w:themeColor="text1"/>
                <w:sz w:val="18"/>
                <w:szCs w:val="18"/>
              </w:rPr>
            </w:pPr>
            <w:r w:rsidRPr="009A5D5D">
              <w:rPr>
                <w:rFonts w:cs="Arial"/>
                <w:noProof/>
                <w:color w:val="000000" w:themeColor="text1"/>
                <w:sz w:val="18"/>
                <w:szCs w:val="18"/>
                <w:lang w:eastAsia="es-CO"/>
              </w:rPr>
              <w:drawing>
                <wp:inline distT="0" distB="0" distL="0" distR="0" wp14:anchorId="410F1D17" wp14:editId="7BDBD09F">
                  <wp:extent cx="1190625" cy="1170090"/>
                  <wp:effectExtent l="0" t="0" r="0" b="0"/>
                  <wp:docPr id="75"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02876" cy="1182129"/>
                          </a:xfrm>
                          <a:prstGeom prst="rect">
                            <a:avLst/>
                          </a:prstGeom>
                        </pic:spPr>
                      </pic:pic>
                    </a:graphicData>
                  </a:graphic>
                </wp:inline>
              </w:drawing>
            </w:r>
            <w:r w:rsidRPr="009A5D5D">
              <w:rPr>
                <w:rFonts w:cs="Arial"/>
                <w:noProof/>
                <w:color w:val="000000" w:themeColor="text1"/>
                <w:sz w:val="18"/>
                <w:szCs w:val="18"/>
                <w:lang w:eastAsia="es-CO"/>
              </w:rPr>
              <w:drawing>
                <wp:inline distT="0" distB="0" distL="0" distR="0" wp14:anchorId="3ADF58BA" wp14:editId="255B9FE1">
                  <wp:extent cx="1066800" cy="1188881"/>
                  <wp:effectExtent l="0" t="0" r="0"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25000"/>
                                    </a14:imgEffect>
                                  </a14:imgLayer>
                                </a14:imgProps>
                              </a:ext>
                            </a:extLst>
                          </a:blip>
                          <a:stretch>
                            <a:fillRect/>
                          </a:stretch>
                        </pic:blipFill>
                        <pic:spPr>
                          <a:xfrm>
                            <a:off x="0" y="0"/>
                            <a:ext cx="1074826" cy="1197825"/>
                          </a:xfrm>
                          <a:prstGeom prst="rect">
                            <a:avLst/>
                          </a:prstGeom>
                        </pic:spPr>
                      </pic:pic>
                    </a:graphicData>
                  </a:graphic>
                </wp:inline>
              </w:drawing>
            </w:r>
          </w:p>
        </w:tc>
        <w:tc>
          <w:tcPr>
            <w:tcW w:w="2410" w:type="pct"/>
            <w:gridSpan w:val="3"/>
          </w:tcPr>
          <w:p w14:paraId="52B169CB"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Líquido inflamable, peligro moderado de incendio o explosión del líquido o el vapor en presencia de calor, chispas o llamas. La inhalación de vapor a altas concentraciones puede causar mareos y adormecimiento. El líquido puede producir irritación de la piel y los ojos. Puede absorberse por la piel. Peligro de aspiración si es ingerido.</w:t>
            </w:r>
          </w:p>
        </w:tc>
      </w:tr>
      <w:tr w:rsidR="009A5D5D" w:rsidRPr="009A5D5D" w14:paraId="2CB12DFD"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2568487A"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t>INVENTARIO DE RECURSOS DE PRIMERA RESPUESTA</w:t>
            </w:r>
          </w:p>
        </w:tc>
      </w:tr>
      <w:tr w:rsidR="009A5D5D" w:rsidRPr="009A5D5D" w14:paraId="6B48EA29"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243E0932"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t>Personal</w:t>
            </w:r>
          </w:p>
        </w:tc>
        <w:tc>
          <w:tcPr>
            <w:tcW w:w="2410" w:type="pct"/>
            <w:gridSpan w:val="3"/>
          </w:tcPr>
          <w:p w14:paraId="7AF3852C" w14:textId="77777777"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023A3C0C"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674C066D"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Control de Emergencias</w:t>
            </w:r>
          </w:p>
        </w:tc>
        <w:tc>
          <w:tcPr>
            <w:tcW w:w="2410" w:type="pct"/>
            <w:gridSpan w:val="3"/>
          </w:tcPr>
          <w:p w14:paraId="6A9F7436" w14:textId="65418758" w:rsidR="00137AF7" w:rsidRPr="009A5D5D" w:rsidRDefault="00137AF7"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r>
      <w:tr w:rsidR="009A5D5D" w:rsidRPr="009A5D5D" w14:paraId="05F9EE78"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0A85A18D"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Brigadistas Integrales</w:t>
            </w:r>
          </w:p>
        </w:tc>
        <w:tc>
          <w:tcPr>
            <w:tcW w:w="2410" w:type="pct"/>
            <w:gridSpan w:val="3"/>
          </w:tcPr>
          <w:p w14:paraId="43935392" w14:textId="6D31828E"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0F0E0F10"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603E30AF"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t>Equipos</w:t>
            </w:r>
          </w:p>
        </w:tc>
        <w:tc>
          <w:tcPr>
            <w:tcW w:w="2410" w:type="pct"/>
            <w:gridSpan w:val="3"/>
          </w:tcPr>
          <w:p w14:paraId="4CDE812A" w14:textId="77777777" w:rsidR="00137AF7" w:rsidRPr="009A5D5D" w:rsidRDefault="00137AF7" w:rsidP="004129A6">
            <w:pPr>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Cantidad disponible</w:t>
            </w:r>
          </w:p>
        </w:tc>
      </w:tr>
      <w:tr w:rsidR="009A5D5D" w:rsidRPr="009A5D5D" w14:paraId="3444012B"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29649462"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Trajes tipo Bombero</w:t>
            </w:r>
          </w:p>
        </w:tc>
        <w:tc>
          <w:tcPr>
            <w:tcW w:w="2410" w:type="pct"/>
            <w:gridSpan w:val="3"/>
          </w:tcPr>
          <w:p w14:paraId="129D3697" w14:textId="77777777"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5E86769"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2FED9EF2"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Tramos de Manguera de 1 ½”</w:t>
            </w:r>
          </w:p>
        </w:tc>
        <w:tc>
          <w:tcPr>
            <w:tcW w:w="2410" w:type="pct"/>
            <w:gridSpan w:val="3"/>
          </w:tcPr>
          <w:p w14:paraId="49F778F7" w14:textId="77777777" w:rsidR="00137AF7" w:rsidRPr="009A5D5D" w:rsidRDefault="00137AF7"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4F906121"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2FD3EC28"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Boquillas de 1 ½”</w:t>
            </w:r>
          </w:p>
        </w:tc>
        <w:tc>
          <w:tcPr>
            <w:tcW w:w="2410" w:type="pct"/>
            <w:gridSpan w:val="3"/>
          </w:tcPr>
          <w:p w14:paraId="7017792B" w14:textId="77777777"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4BDBB05A"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70EB083A"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Llaves para manguera scanner</w:t>
            </w:r>
          </w:p>
        </w:tc>
        <w:tc>
          <w:tcPr>
            <w:tcW w:w="2410" w:type="pct"/>
            <w:gridSpan w:val="3"/>
          </w:tcPr>
          <w:p w14:paraId="03A77FBA" w14:textId="77777777" w:rsidR="00137AF7" w:rsidRPr="009A5D5D" w:rsidRDefault="00137AF7"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18ED5A6D"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460945DC"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Hidrante Monitor de Agua (HMA)</w:t>
            </w:r>
          </w:p>
        </w:tc>
        <w:tc>
          <w:tcPr>
            <w:tcW w:w="2410" w:type="pct"/>
            <w:gridSpan w:val="3"/>
          </w:tcPr>
          <w:p w14:paraId="6CC9E89A" w14:textId="77777777"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324483AE"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64B2D273"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Hidrante Monitor de Agua Espuma (HMAE)</w:t>
            </w:r>
          </w:p>
        </w:tc>
        <w:tc>
          <w:tcPr>
            <w:tcW w:w="2410" w:type="pct"/>
            <w:gridSpan w:val="3"/>
          </w:tcPr>
          <w:p w14:paraId="3B40713A" w14:textId="77777777" w:rsidR="00137AF7" w:rsidRPr="009A5D5D" w:rsidRDefault="00137AF7" w:rsidP="004129A6">
            <w:pPr>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w:t>
            </w:r>
          </w:p>
        </w:tc>
      </w:tr>
      <w:tr w:rsidR="009A5D5D" w:rsidRPr="009A5D5D" w14:paraId="0EC0A468"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097C7A3D" w14:textId="77777777" w:rsidR="00137AF7" w:rsidRPr="009A5D5D" w:rsidRDefault="00137AF7" w:rsidP="004129A6">
            <w:pPr>
              <w:rPr>
                <w:rFonts w:cs="Arial"/>
                <w:color w:val="000000" w:themeColor="text1"/>
                <w:sz w:val="18"/>
                <w:szCs w:val="18"/>
              </w:rPr>
            </w:pPr>
            <w:r w:rsidRPr="009A5D5D">
              <w:rPr>
                <w:rFonts w:cs="Arial"/>
                <w:color w:val="000000" w:themeColor="text1"/>
                <w:sz w:val="18"/>
                <w:szCs w:val="18"/>
              </w:rPr>
              <w:t>Extintor de polvo químico seco</w:t>
            </w:r>
          </w:p>
        </w:tc>
        <w:tc>
          <w:tcPr>
            <w:tcW w:w="2410" w:type="pct"/>
            <w:gridSpan w:val="3"/>
          </w:tcPr>
          <w:p w14:paraId="076A2957" w14:textId="52D141D6"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53EF22F9"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6"/>
          </w:tcPr>
          <w:p w14:paraId="0F6FED4C"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lastRenderedPageBreak/>
              <w:t>PROCEDIMIENTOS DE CONTROL Y ATENCIÓN PARA EL ÁREA AFECTADA POR EL DERRAME</w:t>
            </w:r>
          </w:p>
        </w:tc>
      </w:tr>
      <w:tr w:rsidR="009A5D5D" w:rsidRPr="009A5D5D" w14:paraId="4061888C"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181D844C"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rPr>
              <w:t>Control operacional</w:t>
            </w:r>
          </w:p>
        </w:tc>
        <w:tc>
          <w:tcPr>
            <w:tcW w:w="2410" w:type="pct"/>
            <w:gridSpan w:val="3"/>
          </w:tcPr>
          <w:p w14:paraId="3F692948" w14:textId="77777777"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Atención de personal/Evacuación</w:t>
            </w:r>
          </w:p>
        </w:tc>
      </w:tr>
      <w:tr w:rsidR="009A5D5D" w:rsidRPr="009A5D5D" w14:paraId="3075F3E6"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pct"/>
          </w:tcPr>
          <w:p w14:paraId="78C03115" w14:textId="77777777" w:rsidR="00137AF7" w:rsidRPr="009A5D5D" w:rsidRDefault="00137AF7" w:rsidP="004129A6">
            <w:pPr>
              <w:rPr>
                <w:rFonts w:cs="Arial"/>
                <w:b w:val="0"/>
                <w:color w:val="000000" w:themeColor="text1"/>
                <w:sz w:val="18"/>
                <w:szCs w:val="18"/>
              </w:rPr>
            </w:pPr>
            <w:r w:rsidRPr="009A5D5D">
              <w:rPr>
                <w:rFonts w:cs="Arial"/>
                <w:color w:val="000000" w:themeColor="text1"/>
                <w:sz w:val="18"/>
                <w:szCs w:val="18"/>
              </w:rPr>
              <w:t>Responsable</w:t>
            </w:r>
          </w:p>
        </w:tc>
        <w:tc>
          <w:tcPr>
            <w:tcW w:w="1605" w:type="pct"/>
            <w:gridSpan w:val="2"/>
          </w:tcPr>
          <w:p w14:paraId="0027E4C0"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Responsable Gestión Ambiental / Brigadista </w:t>
            </w:r>
          </w:p>
        </w:tc>
        <w:tc>
          <w:tcPr>
            <w:tcW w:w="1031" w:type="pct"/>
            <w:gridSpan w:val="2"/>
          </w:tcPr>
          <w:p w14:paraId="157F3F71"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Responsable</w:t>
            </w:r>
          </w:p>
        </w:tc>
        <w:tc>
          <w:tcPr>
            <w:tcW w:w="1379" w:type="pct"/>
          </w:tcPr>
          <w:p w14:paraId="4DB1938A"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Brigadistas </w:t>
            </w:r>
          </w:p>
        </w:tc>
      </w:tr>
      <w:tr w:rsidR="009A5D5D" w:rsidRPr="009A5D5D" w14:paraId="62D3A244"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381A97A5" w14:textId="77777777" w:rsidR="00137AF7" w:rsidRPr="009A5D5D" w:rsidRDefault="00137AF7" w:rsidP="004129A6">
            <w:pPr>
              <w:jc w:val="center"/>
              <w:rPr>
                <w:rFonts w:cs="Arial"/>
                <w:b w:val="0"/>
                <w:color w:val="000000" w:themeColor="text1"/>
                <w:sz w:val="18"/>
                <w:szCs w:val="18"/>
              </w:rPr>
            </w:pPr>
            <w:r w:rsidRPr="009A5D5D">
              <w:rPr>
                <w:rFonts w:cs="Arial"/>
                <w:color w:val="000000" w:themeColor="text1"/>
                <w:sz w:val="18"/>
                <w:szCs w:val="18"/>
                <w:shd w:val="clear" w:color="auto" w:fill="F2F2F2" w:themeFill="background1" w:themeFillShade="F2"/>
              </w:rPr>
              <w:t>Activ</w:t>
            </w:r>
            <w:r w:rsidRPr="009A5D5D">
              <w:rPr>
                <w:rFonts w:cs="Arial"/>
                <w:color w:val="000000" w:themeColor="text1"/>
                <w:sz w:val="18"/>
                <w:szCs w:val="18"/>
              </w:rPr>
              <w:t>idades</w:t>
            </w:r>
          </w:p>
        </w:tc>
        <w:tc>
          <w:tcPr>
            <w:tcW w:w="2410" w:type="pct"/>
            <w:gridSpan w:val="3"/>
          </w:tcPr>
          <w:p w14:paraId="6F386DA7" w14:textId="77777777" w:rsidR="00137AF7" w:rsidRPr="009A5D5D" w:rsidRDefault="00137AF7" w:rsidP="004129A6">
            <w:pPr>
              <w:jc w:val="center"/>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9A5D5D">
              <w:rPr>
                <w:rFonts w:cs="Arial"/>
                <w:b/>
                <w:color w:val="000000" w:themeColor="text1"/>
                <w:sz w:val="18"/>
                <w:szCs w:val="18"/>
              </w:rPr>
              <w:t>Actividades</w:t>
            </w:r>
          </w:p>
        </w:tc>
      </w:tr>
      <w:tr w:rsidR="009A5D5D" w:rsidRPr="009A5D5D" w14:paraId="1F398883" w14:textId="77777777" w:rsidTr="001E5632">
        <w:trPr>
          <w:cnfStyle w:val="000000100000" w:firstRow="0" w:lastRow="0" w:firstColumn="0" w:lastColumn="0" w:oddVBand="0" w:evenVBand="0" w:oddHBand="1" w:evenHBand="0" w:firstRowFirstColumn="0" w:firstRowLastColumn="0" w:lastRowFirstColumn="0" w:lastRowLastColumn="0"/>
          <w:trHeight w:val="1334"/>
        </w:trPr>
        <w:tc>
          <w:tcPr>
            <w:cnfStyle w:val="001000000000" w:firstRow="0" w:lastRow="0" w:firstColumn="1" w:lastColumn="0" w:oddVBand="0" w:evenVBand="0" w:oddHBand="0" w:evenHBand="0" w:firstRowFirstColumn="0" w:firstRowLastColumn="0" w:lastRowFirstColumn="0" w:lastRowLastColumn="0"/>
            <w:tcW w:w="2590" w:type="pct"/>
            <w:gridSpan w:val="3"/>
          </w:tcPr>
          <w:p w14:paraId="6C04FB9E" w14:textId="77777777"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Una vez ocurrido el derrame se debe de inmediato activar las brigadas de emergencias.</w:t>
            </w:r>
          </w:p>
          <w:p w14:paraId="1635D257" w14:textId="61DC4178" w:rsidR="00137AF7" w:rsidRPr="009A5D5D" w:rsidRDefault="00137AF7" w:rsidP="004129A6">
            <w:pPr>
              <w:rPr>
                <w:rFonts w:cs="Arial"/>
                <w:b w:val="0"/>
                <w:color w:val="000000" w:themeColor="text1"/>
                <w:sz w:val="18"/>
                <w:szCs w:val="18"/>
                <w:highlight w:val="yellow"/>
              </w:rPr>
            </w:pPr>
            <w:r w:rsidRPr="009A5D5D">
              <w:rPr>
                <w:rFonts w:cs="Arial"/>
                <w:b w:val="0"/>
                <w:color w:val="000000" w:themeColor="text1"/>
                <w:sz w:val="18"/>
                <w:szCs w:val="18"/>
              </w:rPr>
              <w:t xml:space="preserve">La primera acción que se debe emprender, es confirmar que con el derrame no se han generado atmosferas explosivas lo cual se debe verificar mediante un monitoreo de atmosferas en el área del derrame. </w:t>
            </w:r>
          </w:p>
        </w:tc>
        <w:tc>
          <w:tcPr>
            <w:tcW w:w="2410" w:type="pct"/>
            <w:gridSpan w:val="3"/>
          </w:tcPr>
          <w:p w14:paraId="29D3037D"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 xml:space="preserve">1. Realizar evacuación del personal del área cercana al evento hacia el Punto de Encuentro (PE) ubicado en la portería (de ser necesario activar la alarma) </w:t>
            </w:r>
          </w:p>
        </w:tc>
      </w:tr>
      <w:tr w:rsidR="009A5D5D" w:rsidRPr="009A5D5D" w14:paraId="3BFED0D2"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7D36C29B" w14:textId="77777777"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1. Determinar si la situación es clasificada como:</w:t>
            </w:r>
          </w:p>
          <w:p w14:paraId="38D4BD47" w14:textId="77777777"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 xml:space="preserve">• un conato de emergencia, </w:t>
            </w:r>
          </w:p>
          <w:p w14:paraId="546E2821" w14:textId="77777777"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 xml:space="preserve">• una emergencia parcial o </w:t>
            </w:r>
          </w:p>
          <w:p w14:paraId="210663F0" w14:textId="566699C4"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 una emergencia general</w:t>
            </w:r>
            <w:r w:rsidR="001E5632">
              <w:rPr>
                <w:rFonts w:cs="Arial"/>
                <w:b w:val="0"/>
                <w:color w:val="000000" w:themeColor="text1"/>
                <w:sz w:val="18"/>
                <w:szCs w:val="18"/>
              </w:rPr>
              <w:t>.</w:t>
            </w:r>
          </w:p>
        </w:tc>
        <w:tc>
          <w:tcPr>
            <w:tcW w:w="2410" w:type="pct"/>
            <w:gridSpan w:val="3"/>
          </w:tcPr>
          <w:p w14:paraId="0D34C1E3"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2. Delimitar y señalizar el área involucrada en la atención del derrame, para evitar que el personal no autorizado ingrese a la misma.</w:t>
            </w:r>
          </w:p>
        </w:tc>
      </w:tr>
      <w:tr w:rsidR="009A5D5D" w:rsidRPr="009A5D5D" w14:paraId="31C17128"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399DDA56" w14:textId="77777777"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2. Se debe cerrar la fuente de emisión del derrame: Ejecutar las actividades de contención del derrame. Evitar la llegada de posibles derrames fuera de la estación. Los derrames se deben dirigir hacia el punto más cercano.</w:t>
            </w:r>
            <w:r w:rsidRPr="009A5D5D">
              <w:rPr>
                <w:b w:val="0"/>
                <w:color w:val="000000" w:themeColor="text1"/>
              </w:rPr>
              <w:t xml:space="preserve"> S</w:t>
            </w:r>
            <w:r w:rsidRPr="009A5D5D">
              <w:rPr>
                <w:rFonts w:cs="Arial"/>
                <w:b w:val="0"/>
                <w:color w:val="000000" w:themeColor="text1"/>
                <w:sz w:val="18"/>
                <w:szCs w:val="18"/>
              </w:rPr>
              <w:t>e debe llevar el kit de derrame al sitio donde éste ocurrió.</w:t>
            </w:r>
          </w:p>
        </w:tc>
        <w:tc>
          <w:tcPr>
            <w:tcW w:w="2410" w:type="pct"/>
            <w:gridSpan w:val="3"/>
          </w:tcPr>
          <w:p w14:paraId="77CDEB1B"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3. Quién detecte uno o varios lesionados debe notificar al responsable del Primer Respondiente</w:t>
            </w:r>
          </w:p>
        </w:tc>
      </w:tr>
      <w:tr w:rsidR="009A5D5D" w:rsidRPr="009A5D5D" w14:paraId="3EBFC52D"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651ED93B" w14:textId="36CE27BB"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3. Derrames Pequeños: Evacúe y aísle de 25 a 50 metros. Contenga el derrame con diques de poliuretano o calcetines especiales para aceites y absorba con absorbentes inertes como calcetines, almohadillas o tapetes para hidrocarburos o vermiculita. NO USE TIERRA, ARENA NI ASERRÍN. Deposite los residuos en contenedores cerrados y marcados. Lave el área con agua y jabón</w:t>
            </w:r>
          </w:p>
        </w:tc>
        <w:tc>
          <w:tcPr>
            <w:tcW w:w="2410" w:type="pct"/>
            <w:gridSpan w:val="3"/>
          </w:tcPr>
          <w:p w14:paraId="6B809422"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4. Evaluar el número de lesionados, activar MEDEVAC y proceder a realizar TRIAGE por parte de cuerpo médico, según la severidad de sus lesiones se realizará el traslado al hospital.</w:t>
            </w:r>
          </w:p>
        </w:tc>
      </w:tr>
      <w:tr w:rsidR="009A5D5D" w:rsidRPr="009A5D5D" w14:paraId="4E8A2500" w14:textId="77777777" w:rsidTr="00375ED6">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2590" w:type="pct"/>
            <w:gridSpan w:val="3"/>
          </w:tcPr>
          <w:p w14:paraId="5DFC2DAE" w14:textId="5632470A" w:rsidR="00137AF7" w:rsidRPr="009A5D5D" w:rsidRDefault="00137AF7" w:rsidP="004129A6">
            <w:pPr>
              <w:rPr>
                <w:rFonts w:cs="Arial"/>
                <w:b w:val="0"/>
                <w:color w:val="000000" w:themeColor="text1"/>
                <w:sz w:val="18"/>
                <w:szCs w:val="18"/>
              </w:rPr>
            </w:pPr>
            <w:r w:rsidRPr="009A5D5D">
              <w:rPr>
                <w:rFonts w:cs="Arial"/>
                <w:b w:val="0"/>
                <w:color w:val="000000" w:themeColor="text1"/>
                <w:sz w:val="18"/>
                <w:szCs w:val="18"/>
              </w:rPr>
              <w:t xml:space="preserve">4. Derrames Grandes: Evacúe y aísle el área 300 metros en todas direcciones. Utilice agua en forma de rocío para enfriar y dispersar los vapores y proteger al personal. Evite que el material derramado caiga en fuentes de agua, desagües o espacios confinados. </w:t>
            </w:r>
          </w:p>
        </w:tc>
        <w:tc>
          <w:tcPr>
            <w:tcW w:w="2410" w:type="pct"/>
            <w:gridSpan w:val="3"/>
          </w:tcPr>
          <w:p w14:paraId="2E71605A"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5. Si el lesionado no requiere ser trasladado a un centro médico externo, realizar estabilización del lesionado en el sitio (atención de primeros auxilios) y realizar traslado al consultorio médico establecido por la compañía.</w:t>
            </w:r>
          </w:p>
        </w:tc>
      </w:tr>
      <w:tr w:rsidR="009A5D5D" w:rsidRPr="009A5D5D" w14:paraId="34A504D4"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24BA55B5" w14:textId="2DC2D5E6" w:rsidR="00137AF7" w:rsidRPr="009A5D5D" w:rsidRDefault="001E5632" w:rsidP="004129A6">
            <w:pPr>
              <w:rPr>
                <w:rFonts w:cs="Arial"/>
                <w:b w:val="0"/>
                <w:color w:val="000000" w:themeColor="text1"/>
                <w:sz w:val="18"/>
                <w:szCs w:val="18"/>
              </w:rPr>
            </w:pPr>
            <w:r>
              <w:rPr>
                <w:rFonts w:cs="Arial"/>
                <w:b w:val="0"/>
                <w:color w:val="000000" w:themeColor="text1"/>
                <w:sz w:val="18"/>
                <w:szCs w:val="18"/>
              </w:rPr>
              <w:t>5</w:t>
            </w:r>
            <w:r w:rsidR="00137AF7" w:rsidRPr="009A5D5D">
              <w:rPr>
                <w:rFonts w:cs="Arial"/>
                <w:b w:val="0"/>
                <w:color w:val="000000" w:themeColor="text1"/>
                <w:sz w:val="18"/>
                <w:szCs w:val="18"/>
              </w:rPr>
              <w:t>. Si la emergencia no se ha podido controlar, se debe efectuar el dimensionamiento y proyección de la misma, con el fin de identificar los riesgos en áreas adicionales dentro y fuera de la sede, para planificar las acciones a tomar y avisar a las autoridades y comités de emergencia correspondientes.</w:t>
            </w:r>
          </w:p>
        </w:tc>
        <w:tc>
          <w:tcPr>
            <w:tcW w:w="2410" w:type="pct"/>
            <w:gridSpan w:val="3"/>
            <w:vMerge w:val="restart"/>
          </w:tcPr>
          <w:p w14:paraId="1B76B907"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9A5D5D">
              <w:rPr>
                <w:rFonts w:cs="Arial"/>
                <w:color w:val="000000" w:themeColor="text1"/>
                <w:sz w:val="18"/>
                <w:szCs w:val="18"/>
              </w:rPr>
              <w:t>6. Realizar seguimiento al estado y evolución del lesionado.</w:t>
            </w:r>
          </w:p>
        </w:tc>
      </w:tr>
      <w:tr w:rsidR="009A5D5D" w:rsidRPr="009A5D5D" w14:paraId="23D7077C"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39B71734" w14:textId="601EDD23" w:rsidR="00137AF7" w:rsidRPr="009A5D5D" w:rsidRDefault="001E5632" w:rsidP="004129A6">
            <w:pPr>
              <w:rPr>
                <w:rFonts w:cs="Arial"/>
                <w:b w:val="0"/>
                <w:color w:val="000000" w:themeColor="text1"/>
                <w:sz w:val="18"/>
                <w:szCs w:val="18"/>
              </w:rPr>
            </w:pPr>
            <w:r>
              <w:rPr>
                <w:rFonts w:cs="Arial"/>
                <w:b w:val="0"/>
                <w:color w:val="000000" w:themeColor="text1"/>
                <w:sz w:val="18"/>
                <w:szCs w:val="18"/>
              </w:rPr>
              <w:t>6.</w:t>
            </w:r>
            <w:r w:rsidR="00137AF7" w:rsidRPr="009A5D5D">
              <w:rPr>
                <w:rFonts w:cs="Arial"/>
                <w:b w:val="0"/>
                <w:color w:val="000000" w:themeColor="text1"/>
                <w:sz w:val="18"/>
                <w:szCs w:val="18"/>
              </w:rPr>
              <w:t>Continuar con las acciones de control de emergencia hasta cuando el uso de los mecanismos disponibles no permita obtener ningún beneficio respecto a los esfuerzos desplegados.</w:t>
            </w:r>
          </w:p>
        </w:tc>
        <w:tc>
          <w:tcPr>
            <w:tcW w:w="2410" w:type="pct"/>
            <w:gridSpan w:val="3"/>
            <w:vMerge/>
          </w:tcPr>
          <w:p w14:paraId="4001E5BB"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r>
      <w:tr w:rsidR="009A5D5D" w:rsidRPr="009A5D5D" w14:paraId="10B66654" w14:textId="77777777" w:rsidTr="00375ED6">
        <w:tc>
          <w:tcPr>
            <w:cnfStyle w:val="001000000000" w:firstRow="0" w:lastRow="0" w:firstColumn="1" w:lastColumn="0" w:oddVBand="0" w:evenVBand="0" w:oddHBand="0" w:evenHBand="0" w:firstRowFirstColumn="0" w:firstRowLastColumn="0" w:lastRowFirstColumn="0" w:lastRowLastColumn="0"/>
            <w:tcW w:w="2590" w:type="pct"/>
            <w:gridSpan w:val="3"/>
          </w:tcPr>
          <w:p w14:paraId="0B46DDA4" w14:textId="43D6685F" w:rsidR="00137AF7" w:rsidRPr="009A5D5D" w:rsidRDefault="001E5632" w:rsidP="004129A6">
            <w:pPr>
              <w:rPr>
                <w:rFonts w:cs="Arial"/>
                <w:b w:val="0"/>
                <w:color w:val="000000" w:themeColor="text1"/>
                <w:sz w:val="18"/>
                <w:szCs w:val="18"/>
              </w:rPr>
            </w:pPr>
            <w:r>
              <w:rPr>
                <w:rFonts w:cs="Arial"/>
                <w:b w:val="0"/>
                <w:color w:val="000000" w:themeColor="text1"/>
                <w:sz w:val="18"/>
                <w:szCs w:val="18"/>
              </w:rPr>
              <w:t>7.</w:t>
            </w:r>
            <w:r w:rsidR="00137AF7" w:rsidRPr="009A5D5D">
              <w:rPr>
                <w:rFonts w:cs="Arial"/>
                <w:b w:val="0"/>
                <w:color w:val="000000" w:themeColor="text1"/>
                <w:sz w:val="18"/>
                <w:szCs w:val="18"/>
              </w:rPr>
              <w:t>Una vez controlada la emergencia se deben evaluar los daños para determinar la posibilidad de poner la sede en servicio nuevamente.</w:t>
            </w:r>
          </w:p>
        </w:tc>
        <w:tc>
          <w:tcPr>
            <w:tcW w:w="2410" w:type="pct"/>
            <w:gridSpan w:val="3"/>
            <w:vMerge/>
          </w:tcPr>
          <w:p w14:paraId="38B19BE5" w14:textId="77777777" w:rsidR="00137AF7" w:rsidRPr="009A5D5D" w:rsidRDefault="00137AF7" w:rsidP="004129A6">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p>
        </w:tc>
      </w:tr>
      <w:tr w:rsidR="009A5D5D" w:rsidRPr="009A5D5D" w14:paraId="4A45786E" w14:textId="77777777" w:rsidTr="00375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0" w:type="pct"/>
            <w:gridSpan w:val="3"/>
          </w:tcPr>
          <w:p w14:paraId="40805897" w14:textId="1D862931" w:rsidR="00137AF7" w:rsidRPr="009A5D5D" w:rsidRDefault="001E5632" w:rsidP="004129A6">
            <w:pPr>
              <w:rPr>
                <w:rFonts w:cs="Arial"/>
                <w:b w:val="0"/>
                <w:color w:val="000000" w:themeColor="text1"/>
                <w:sz w:val="18"/>
                <w:szCs w:val="18"/>
              </w:rPr>
            </w:pPr>
            <w:r>
              <w:rPr>
                <w:rFonts w:cs="Arial"/>
                <w:b w:val="0"/>
                <w:color w:val="000000" w:themeColor="text1"/>
                <w:sz w:val="18"/>
                <w:szCs w:val="18"/>
              </w:rPr>
              <w:t>8</w:t>
            </w:r>
            <w:r w:rsidR="00137AF7" w:rsidRPr="009A5D5D">
              <w:rPr>
                <w:rFonts w:cs="Arial"/>
                <w:b w:val="0"/>
                <w:color w:val="000000" w:themeColor="text1"/>
                <w:sz w:val="18"/>
                <w:szCs w:val="18"/>
              </w:rPr>
              <w:t>. Controlada la emergencia, se deberá proceder a documentar el evento con datos tales como: sitio exacto de la contingencia, posibles causas, estimado de volumen derramado, posibles direcciones del producto y zonas involucradas en la contingencia</w:t>
            </w:r>
          </w:p>
        </w:tc>
        <w:tc>
          <w:tcPr>
            <w:tcW w:w="2410" w:type="pct"/>
            <w:gridSpan w:val="3"/>
            <w:vMerge/>
          </w:tcPr>
          <w:p w14:paraId="16D37BEA" w14:textId="77777777" w:rsidR="00137AF7" w:rsidRPr="009A5D5D" w:rsidRDefault="00137AF7" w:rsidP="004129A6">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p>
        </w:tc>
      </w:tr>
      <w:tr w:rsidR="009A5D5D" w:rsidRPr="009A5D5D" w14:paraId="37760170" w14:textId="77777777" w:rsidTr="00375ED6">
        <w:tc>
          <w:tcPr>
            <w:cnfStyle w:val="001000000000" w:firstRow="0" w:lastRow="0" w:firstColumn="1" w:lastColumn="0" w:oddVBand="0" w:evenVBand="0" w:oddHBand="0" w:evenHBand="0" w:firstRowFirstColumn="0" w:firstRowLastColumn="0" w:lastRowFirstColumn="0" w:lastRowLastColumn="0"/>
            <w:tcW w:w="5000" w:type="pct"/>
            <w:gridSpan w:val="6"/>
          </w:tcPr>
          <w:p w14:paraId="6629E52E" w14:textId="77777777" w:rsidR="00137AF7" w:rsidRPr="009A5D5D" w:rsidRDefault="00137AF7" w:rsidP="004129A6">
            <w:pPr>
              <w:rPr>
                <w:rFonts w:cs="Arial"/>
                <w:b w:val="0"/>
                <w:bCs w:val="0"/>
                <w:color w:val="000000" w:themeColor="text1"/>
                <w:sz w:val="18"/>
                <w:szCs w:val="18"/>
              </w:rPr>
            </w:pPr>
          </w:p>
          <w:p w14:paraId="704A1204" w14:textId="77777777" w:rsidR="00137AF7" w:rsidRPr="001E5632" w:rsidRDefault="00137AF7" w:rsidP="004129A6">
            <w:pPr>
              <w:rPr>
                <w:rFonts w:cs="Arial"/>
                <w:b w:val="0"/>
                <w:bCs w:val="0"/>
                <w:color w:val="000000" w:themeColor="text1"/>
                <w:sz w:val="16"/>
                <w:szCs w:val="18"/>
              </w:rPr>
            </w:pPr>
            <w:r w:rsidRPr="001E5632">
              <w:rPr>
                <w:rFonts w:cs="Arial"/>
                <w:color w:val="000000" w:themeColor="text1"/>
                <w:sz w:val="16"/>
                <w:szCs w:val="18"/>
              </w:rPr>
              <w:t>Una vez terminada la emergencia se debe iniciar la recolección del crudo derramado haciendo uso de palas, baldes, etc. Adicionalmente se deben recargar los equipos contra incendios usados.</w:t>
            </w:r>
          </w:p>
          <w:p w14:paraId="64A20A67" w14:textId="77777777" w:rsidR="00137AF7" w:rsidRPr="009A5D5D" w:rsidRDefault="00137AF7" w:rsidP="004129A6">
            <w:pPr>
              <w:rPr>
                <w:rFonts w:cs="Arial"/>
                <w:b w:val="0"/>
                <w:bCs w:val="0"/>
                <w:color w:val="000000" w:themeColor="text1"/>
                <w:sz w:val="18"/>
                <w:szCs w:val="18"/>
              </w:rPr>
            </w:pPr>
          </w:p>
        </w:tc>
      </w:tr>
    </w:tbl>
    <w:p w14:paraId="1AD1E3B6" w14:textId="017467AF" w:rsidR="00921E55" w:rsidRPr="009A5D5D" w:rsidRDefault="00921E55" w:rsidP="003E660B">
      <w:pPr>
        <w:pStyle w:val="Descripcin"/>
        <w:rPr>
          <w:color w:val="000000" w:themeColor="text1"/>
        </w:rPr>
      </w:pPr>
      <w:bookmarkStart w:id="0" w:name="_GoBack"/>
      <w:bookmarkEnd w:id="0"/>
    </w:p>
    <w:sectPr w:rsidR="00921E55" w:rsidRPr="009A5D5D" w:rsidSect="00871359">
      <w:headerReference w:type="default" r:id="rId14"/>
      <w:footerReference w:type="default" r:id="rId15"/>
      <w:headerReference w:type="first" r:id="rId16"/>
      <w:footerReference w:type="first" r:id="rId17"/>
      <w:pgSz w:w="12240" w:h="15840" w:code="1"/>
      <w:pgMar w:top="851" w:right="851" w:bottom="851" w:left="567" w:header="680"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5972C" w14:textId="77777777" w:rsidR="007E7F41" w:rsidRDefault="007E7F41" w:rsidP="00985CA3">
      <w:r>
        <w:separator/>
      </w:r>
    </w:p>
  </w:endnote>
  <w:endnote w:type="continuationSeparator" w:id="0">
    <w:p w14:paraId="205A4DAD" w14:textId="77777777" w:rsidR="007E7F41" w:rsidRDefault="007E7F41" w:rsidP="0098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ylium">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683309"/>
      <w:docPartObj>
        <w:docPartGallery w:val="Page Numbers (Bottom of Page)"/>
        <w:docPartUnique/>
      </w:docPartObj>
    </w:sdtPr>
    <w:sdtEndPr/>
    <w:sdtContent>
      <w:sdt>
        <w:sdtPr>
          <w:id w:val="-979146716"/>
          <w:docPartObj>
            <w:docPartGallery w:val="Page Numbers (Top of Page)"/>
            <w:docPartUnique/>
          </w:docPartObj>
        </w:sdtPr>
        <w:sdtEndPr/>
        <w:sdtContent>
          <w:p w14:paraId="25FED217" w14:textId="77777777" w:rsidR="001433FF" w:rsidRDefault="001433FF">
            <w:pPr>
              <w:pStyle w:val="Piedepgina"/>
              <w:rPr>
                <w:lang w:val="es-ES"/>
              </w:rPr>
            </w:pPr>
          </w:p>
          <w:p w14:paraId="431BEF4D" w14:textId="7B82F99D" w:rsidR="00F03316" w:rsidRDefault="00F0331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90487">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90487">
              <w:rPr>
                <w:b/>
                <w:bCs/>
                <w:noProof/>
              </w:rPr>
              <w:t>2</w:t>
            </w:r>
            <w:r>
              <w:rPr>
                <w:b/>
                <w:bCs/>
                <w:sz w:val="24"/>
                <w:szCs w:val="24"/>
              </w:rPr>
              <w:fldChar w:fldCharType="end"/>
            </w:r>
          </w:p>
        </w:sdtContent>
      </w:sdt>
    </w:sdtContent>
  </w:sdt>
  <w:p w14:paraId="2D73E8A3" w14:textId="77777777" w:rsidR="00F03316" w:rsidRDefault="00F0331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93845"/>
      <w:docPartObj>
        <w:docPartGallery w:val="Page Numbers (Bottom of Page)"/>
        <w:docPartUnique/>
      </w:docPartObj>
    </w:sdtPr>
    <w:sdtEndPr/>
    <w:sdtContent>
      <w:sdt>
        <w:sdtPr>
          <w:id w:val="-1705238520"/>
          <w:docPartObj>
            <w:docPartGallery w:val="Page Numbers (Top of Page)"/>
            <w:docPartUnique/>
          </w:docPartObj>
        </w:sdtPr>
        <w:sdtEndPr/>
        <w:sdtContent>
          <w:p w14:paraId="352DB394" w14:textId="77777777" w:rsidR="00E03DD6" w:rsidRDefault="00E03DD6">
            <w:pPr>
              <w:pStyle w:val="Piedepgina"/>
              <w:rPr>
                <w:lang w:val="es-ES"/>
              </w:rPr>
            </w:pPr>
          </w:p>
          <w:p w14:paraId="7AC1D5DA" w14:textId="7172443B" w:rsidR="00E03DD6" w:rsidRDefault="00E03DD6">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90487">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90487">
              <w:rPr>
                <w:b/>
                <w:bCs/>
                <w:noProof/>
              </w:rPr>
              <w:t>2</w:t>
            </w:r>
            <w:r>
              <w:rPr>
                <w:b/>
                <w:bCs/>
                <w:sz w:val="24"/>
                <w:szCs w:val="24"/>
              </w:rPr>
              <w:fldChar w:fldCharType="end"/>
            </w:r>
          </w:p>
        </w:sdtContent>
      </w:sdt>
    </w:sdtContent>
  </w:sdt>
  <w:p w14:paraId="2DD5BE02" w14:textId="77777777" w:rsidR="00E03DD6" w:rsidRDefault="00E03DD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FC332" w14:textId="77777777" w:rsidR="007E7F41" w:rsidRDefault="007E7F41" w:rsidP="00985CA3">
      <w:r>
        <w:separator/>
      </w:r>
    </w:p>
  </w:footnote>
  <w:footnote w:type="continuationSeparator" w:id="0">
    <w:p w14:paraId="7E7A9A09" w14:textId="77777777" w:rsidR="007E7F41" w:rsidRDefault="007E7F41" w:rsidP="0098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7581" w14:textId="615FD1AC" w:rsidR="00F03316" w:rsidRPr="006F6FF9" w:rsidRDefault="00F03316" w:rsidP="00090487">
    <w:pPr>
      <w:tabs>
        <w:tab w:val="center" w:pos="4320"/>
        <w:tab w:val="center" w:pos="4419"/>
        <w:tab w:val="right" w:pos="8640"/>
        <w:tab w:val="right" w:pos="8838"/>
      </w:tabs>
      <w:jc w:val="center"/>
      <w:rPr>
        <w:rFonts w:ascii="Berylium" w:eastAsia="Calibri" w:hAnsi="Berylium" w:cs="Times New Roman"/>
        <w:b/>
        <w:iCs/>
        <w:sz w:val="22"/>
        <w:lang w:val="es-ES"/>
      </w:rPr>
    </w:pPr>
    <w:r>
      <w:rPr>
        <w:noProof/>
        <w:lang w:eastAsia="es-CO"/>
      </w:rPr>
      <w:drawing>
        <wp:anchor distT="0" distB="0" distL="114300" distR="114300" simplePos="0" relativeHeight="251661312" behindDoc="1" locked="0" layoutInCell="1" allowOverlap="1" wp14:anchorId="5AF430E5" wp14:editId="6504AA77">
          <wp:simplePos x="0" y="0"/>
          <wp:positionH relativeFrom="column">
            <wp:posOffset>-622935</wp:posOffset>
          </wp:positionH>
          <wp:positionV relativeFrom="paragraph">
            <wp:posOffset>-249555</wp:posOffset>
          </wp:positionV>
          <wp:extent cx="2047875" cy="676098"/>
          <wp:effectExtent l="0" t="0" r="0" b="0"/>
          <wp:wrapNone/>
          <wp:docPr id="4" name="Imagen 4"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00090487">
      <w:rPr>
        <w:rFonts w:ascii="Berylium" w:eastAsia="Calibri" w:hAnsi="Berylium" w:cs="Times New Roman"/>
        <w:bCs/>
        <w:iCs/>
        <w:sz w:val="22"/>
      </w:rPr>
      <w:t xml:space="preserve">                                           </w:t>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070D9E19" w14:textId="77777777" w:rsidR="00F03316" w:rsidRPr="006F6FF9" w:rsidRDefault="00F03316" w:rsidP="00F0331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3076DC75" w14:textId="77777777" w:rsidR="00F03316" w:rsidRDefault="00F03316" w:rsidP="00F0331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p w14:paraId="1AA1B797" w14:textId="77777777" w:rsidR="00F03316" w:rsidRDefault="00F0331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05D6" w14:textId="0C7C1EBB" w:rsidR="00E03DD6" w:rsidRPr="006F6FF9" w:rsidRDefault="00E03DD6" w:rsidP="00090487">
    <w:pPr>
      <w:tabs>
        <w:tab w:val="center" w:pos="4320"/>
        <w:tab w:val="center" w:pos="4419"/>
        <w:tab w:val="right" w:pos="8640"/>
        <w:tab w:val="right" w:pos="8838"/>
      </w:tabs>
      <w:jc w:val="center"/>
      <w:rPr>
        <w:rFonts w:ascii="Berylium" w:eastAsia="Calibri" w:hAnsi="Berylium" w:cs="Times New Roman"/>
        <w:b/>
        <w:iCs/>
        <w:sz w:val="22"/>
        <w:lang w:val="es-ES"/>
      </w:rPr>
    </w:pPr>
    <w:r>
      <w:rPr>
        <w:noProof/>
        <w:lang w:eastAsia="es-CO"/>
      </w:rPr>
      <w:drawing>
        <wp:anchor distT="0" distB="0" distL="114300" distR="114300" simplePos="0" relativeHeight="251659264" behindDoc="1" locked="0" layoutInCell="1" allowOverlap="1" wp14:anchorId="6D2E19B2" wp14:editId="1C9CBBE0">
          <wp:simplePos x="0" y="0"/>
          <wp:positionH relativeFrom="column">
            <wp:posOffset>-622935</wp:posOffset>
          </wp:positionH>
          <wp:positionV relativeFrom="paragraph">
            <wp:posOffset>-249555</wp:posOffset>
          </wp:positionV>
          <wp:extent cx="2047875" cy="676098"/>
          <wp:effectExtent l="0" t="0" r="0" b="0"/>
          <wp:wrapNone/>
          <wp:docPr id="2" name="Imagen 2"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76098"/>
                  </a:xfrm>
                  <a:prstGeom prst="rect">
                    <a:avLst/>
                  </a:prstGeom>
                  <a:noFill/>
                  <a:ln>
                    <a:noFill/>
                  </a:ln>
                </pic:spPr>
              </pic:pic>
            </a:graphicData>
          </a:graphic>
          <wp14:sizeRelH relativeFrom="page">
            <wp14:pctWidth>0</wp14:pctWidth>
          </wp14:sizeRelH>
          <wp14:sizeRelV relativeFrom="page">
            <wp14:pctHeight>0</wp14:pctHeight>
          </wp14:sizeRelV>
        </wp:anchor>
      </w:drawing>
    </w:r>
    <w:r w:rsidR="00090487">
      <w:rPr>
        <w:rFonts w:ascii="Berylium" w:eastAsia="Calibri" w:hAnsi="Berylium" w:cs="Times New Roman"/>
        <w:bCs/>
        <w:iCs/>
        <w:sz w:val="22"/>
      </w:rPr>
      <w:t xml:space="preserve">                                                  </w:t>
    </w:r>
    <w:r w:rsidRPr="006F6FF9">
      <w:rPr>
        <w:rFonts w:ascii="Berylium" w:eastAsia="Calibri" w:hAnsi="Berylium" w:cs="Times New Roman"/>
        <w:bCs/>
        <w:iCs/>
        <w:sz w:val="22"/>
      </w:rPr>
      <w:t>Consejo Superior de la Judicatura</w:t>
    </w:r>
    <w:r>
      <w:rPr>
        <w:rFonts w:ascii="Berylium" w:eastAsia="Calibri" w:hAnsi="Berylium" w:cs="Times New Roman"/>
        <w:bCs/>
        <w:iCs/>
        <w:sz w:val="22"/>
      </w:rPr>
      <w:t xml:space="preserve">                                </w:t>
    </w:r>
    <w:r w:rsidRPr="002A70D5">
      <w:rPr>
        <w:rFonts w:ascii="Berylium" w:eastAsia="Calibri" w:hAnsi="Berylium" w:cs="Times New Roman"/>
        <w:b/>
        <w:iCs/>
        <w:sz w:val="28"/>
        <w:szCs w:val="32"/>
      </w:rPr>
      <w:t>SIGCMA</w:t>
    </w:r>
  </w:p>
  <w:p w14:paraId="1AAF9BC4" w14:textId="77777777" w:rsidR="00E03DD6" w:rsidRPr="006F6FF9" w:rsidRDefault="00E03DD6" w:rsidP="00E03DD6">
    <w:pPr>
      <w:tabs>
        <w:tab w:val="center" w:pos="4320"/>
        <w:tab w:val="center" w:pos="4419"/>
        <w:tab w:val="right" w:pos="8640"/>
        <w:tab w:val="right" w:pos="8838"/>
      </w:tabs>
      <w:jc w:val="center"/>
      <w:rPr>
        <w:rFonts w:ascii="Berylium" w:eastAsia="Calibri" w:hAnsi="Berylium" w:cs="Times New Roman"/>
        <w:bCs/>
        <w:iCs/>
        <w:sz w:val="22"/>
      </w:rPr>
    </w:pPr>
    <w:r w:rsidRPr="006F6FF9">
      <w:rPr>
        <w:rFonts w:ascii="Berylium" w:eastAsia="Calibri" w:hAnsi="Berylium" w:cs="Times New Roman"/>
        <w:bCs/>
        <w:iCs/>
        <w:sz w:val="22"/>
      </w:rPr>
      <w:t>Dirección Ejecutiva de Administración Judicial</w:t>
    </w:r>
  </w:p>
  <w:p w14:paraId="16C18449" w14:textId="7CF8AE6A" w:rsidR="00E03DD6" w:rsidRDefault="00E03DD6" w:rsidP="00E03DD6">
    <w:pPr>
      <w:tabs>
        <w:tab w:val="center" w:pos="4320"/>
        <w:tab w:val="center" w:pos="4419"/>
        <w:tab w:val="right" w:pos="8640"/>
        <w:tab w:val="right" w:pos="8838"/>
      </w:tabs>
      <w:jc w:val="center"/>
    </w:pPr>
    <w:r w:rsidRPr="006F6FF9">
      <w:rPr>
        <w:rFonts w:ascii="Berylium" w:eastAsia="Calibri" w:hAnsi="Berylium" w:cs="Times New Roman"/>
        <w:bCs/>
        <w:iCs/>
        <w:sz w:val="22"/>
      </w:rPr>
      <w:t>Sistema de Gestión de Seguridad y Salud en el Trabajo (SG-SST)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4D1B"/>
    <w:multiLevelType w:val="hybridMultilevel"/>
    <w:tmpl w:val="E5046998"/>
    <w:lvl w:ilvl="0" w:tplc="772E88A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1F7B6C"/>
    <w:multiLevelType w:val="multilevel"/>
    <w:tmpl w:val="AAB804B8"/>
    <w:lvl w:ilvl="0">
      <w:start w:val="1"/>
      <w:numFmt w:val="decimal"/>
      <w:lvlText w:val="%1."/>
      <w:lvlJc w:val="left"/>
      <w:pPr>
        <w:ind w:left="720" w:hanging="360"/>
      </w:pPr>
      <w:rPr>
        <w:rFonts w:hint="default"/>
      </w:rPr>
    </w:lvl>
    <w:lvl w:ilvl="1">
      <w:start w:val="1"/>
      <w:numFmt w:val="decimal"/>
      <w:isLgl/>
      <w:lvlText w:val="%1.%2"/>
      <w:lvlJc w:val="left"/>
      <w:pPr>
        <w:ind w:left="510" w:hanging="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477EE8"/>
    <w:multiLevelType w:val="hybridMultilevel"/>
    <w:tmpl w:val="9ACE7FF6"/>
    <w:lvl w:ilvl="0" w:tplc="7E40D4E8">
      <w:start w:val="1"/>
      <w:numFmt w:val="decimal"/>
      <w:lvlText w:val="%1."/>
      <w:lvlJc w:val="left"/>
      <w:pPr>
        <w:ind w:left="502" w:hanging="360"/>
      </w:pPr>
      <w:rPr>
        <w:rFonts w:ascii="Arial" w:hAnsi="Arial" w:cs="Arial" w:hint="default"/>
        <w:b/>
      </w:rPr>
    </w:lvl>
    <w:lvl w:ilvl="1" w:tplc="0C0A0019">
      <w:start w:val="1"/>
      <w:numFmt w:val="lowerLetter"/>
      <w:lvlText w:val="%2."/>
      <w:lvlJc w:val="left"/>
      <w:pPr>
        <w:ind w:left="1222" w:hanging="360"/>
      </w:pPr>
    </w:lvl>
    <w:lvl w:ilvl="2" w:tplc="0C0A001B">
      <w:start w:val="1"/>
      <w:numFmt w:val="lowerRoman"/>
      <w:lvlText w:val="%3."/>
      <w:lvlJc w:val="right"/>
      <w:pPr>
        <w:ind w:left="1942" w:hanging="180"/>
      </w:pPr>
    </w:lvl>
    <w:lvl w:ilvl="3" w:tplc="0C0A000F">
      <w:start w:val="1"/>
      <w:numFmt w:val="decimal"/>
      <w:lvlText w:val="%4."/>
      <w:lvlJc w:val="left"/>
      <w:pPr>
        <w:ind w:left="2662" w:hanging="360"/>
      </w:pPr>
    </w:lvl>
    <w:lvl w:ilvl="4" w:tplc="0C0A0019">
      <w:start w:val="1"/>
      <w:numFmt w:val="lowerLetter"/>
      <w:lvlText w:val="%5."/>
      <w:lvlJc w:val="left"/>
      <w:pPr>
        <w:ind w:left="3382" w:hanging="360"/>
      </w:pPr>
    </w:lvl>
    <w:lvl w:ilvl="5" w:tplc="0C0A001B">
      <w:start w:val="1"/>
      <w:numFmt w:val="lowerRoman"/>
      <w:lvlText w:val="%6."/>
      <w:lvlJc w:val="right"/>
      <w:pPr>
        <w:ind w:left="4102" w:hanging="180"/>
      </w:pPr>
    </w:lvl>
    <w:lvl w:ilvl="6" w:tplc="0C0A000F">
      <w:start w:val="1"/>
      <w:numFmt w:val="decimal"/>
      <w:lvlText w:val="%7."/>
      <w:lvlJc w:val="left"/>
      <w:pPr>
        <w:ind w:left="4822" w:hanging="360"/>
      </w:pPr>
    </w:lvl>
    <w:lvl w:ilvl="7" w:tplc="0C0A0019">
      <w:start w:val="1"/>
      <w:numFmt w:val="lowerLetter"/>
      <w:lvlText w:val="%8."/>
      <w:lvlJc w:val="left"/>
      <w:pPr>
        <w:ind w:left="5542" w:hanging="360"/>
      </w:pPr>
    </w:lvl>
    <w:lvl w:ilvl="8" w:tplc="0C0A001B">
      <w:start w:val="1"/>
      <w:numFmt w:val="lowerRoman"/>
      <w:lvlText w:val="%9."/>
      <w:lvlJc w:val="right"/>
      <w:pPr>
        <w:ind w:left="6262" w:hanging="180"/>
      </w:pPr>
    </w:lvl>
  </w:abstractNum>
  <w:abstractNum w:abstractNumId="3" w15:restartNumberingAfterBreak="0">
    <w:nsid w:val="6EDA6A39"/>
    <w:multiLevelType w:val="hybridMultilevel"/>
    <w:tmpl w:val="4E28B3EC"/>
    <w:lvl w:ilvl="0" w:tplc="0AC6C40C">
      <w:start w:val="1"/>
      <w:numFmt w:val="bullet"/>
      <w:pStyle w:val="Vieta1"/>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6" w:nlCheck="1" w:checkStyle="0"/>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6" w:nlCheck="1" w:checkStyle="0"/>
  <w:activeWritingStyle w:appName="MSWord" w:lang="en-US"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s-CO" w:vendorID="64" w:dllVersion="131078" w:nlCheck="1" w:checkStyle="0"/>
  <w:activeWritingStyle w:appName="MSWord" w:lang="es-ES"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56"/>
    <w:rsid w:val="00004C05"/>
    <w:rsid w:val="00006401"/>
    <w:rsid w:val="000068FB"/>
    <w:rsid w:val="00007CAF"/>
    <w:rsid w:val="000200DC"/>
    <w:rsid w:val="000221B5"/>
    <w:rsid w:val="00022C5C"/>
    <w:rsid w:val="00023CE9"/>
    <w:rsid w:val="000350EC"/>
    <w:rsid w:val="00037712"/>
    <w:rsid w:val="00041B94"/>
    <w:rsid w:val="00042BAD"/>
    <w:rsid w:val="00043E7E"/>
    <w:rsid w:val="00044F90"/>
    <w:rsid w:val="0005180E"/>
    <w:rsid w:val="00051908"/>
    <w:rsid w:val="00055FAF"/>
    <w:rsid w:val="000642DB"/>
    <w:rsid w:val="00072BCF"/>
    <w:rsid w:val="00074954"/>
    <w:rsid w:val="00082827"/>
    <w:rsid w:val="000852FB"/>
    <w:rsid w:val="00085FF4"/>
    <w:rsid w:val="00090487"/>
    <w:rsid w:val="00090EE1"/>
    <w:rsid w:val="00096444"/>
    <w:rsid w:val="000A211A"/>
    <w:rsid w:val="000A5DD2"/>
    <w:rsid w:val="000C7263"/>
    <w:rsid w:val="000D2A0A"/>
    <w:rsid w:val="000D2F6A"/>
    <w:rsid w:val="000D4C9F"/>
    <w:rsid w:val="000E7E52"/>
    <w:rsid w:val="000F03CB"/>
    <w:rsid w:val="000F10E5"/>
    <w:rsid w:val="000F6668"/>
    <w:rsid w:val="000F6A31"/>
    <w:rsid w:val="00102456"/>
    <w:rsid w:val="00102D87"/>
    <w:rsid w:val="0012025B"/>
    <w:rsid w:val="0012307A"/>
    <w:rsid w:val="00125822"/>
    <w:rsid w:val="00133E5E"/>
    <w:rsid w:val="00137AF7"/>
    <w:rsid w:val="00140752"/>
    <w:rsid w:val="001433FF"/>
    <w:rsid w:val="00150239"/>
    <w:rsid w:val="00152E9C"/>
    <w:rsid w:val="00173245"/>
    <w:rsid w:val="00181E6E"/>
    <w:rsid w:val="00190565"/>
    <w:rsid w:val="001A2184"/>
    <w:rsid w:val="001A3F1B"/>
    <w:rsid w:val="001A5C8D"/>
    <w:rsid w:val="001A7A95"/>
    <w:rsid w:val="001B55BE"/>
    <w:rsid w:val="001B761B"/>
    <w:rsid w:val="001C1CFE"/>
    <w:rsid w:val="001C7675"/>
    <w:rsid w:val="001D7722"/>
    <w:rsid w:val="001E5632"/>
    <w:rsid w:val="001E6DC6"/>
    <w:rsid w:val="001E74D1"/>
    <w:rsid w:val="001F6D10"/>
    <w:rsid w:val="00202EE0"/>
    <w:rsid w:val="00203296"/>
    <w:rsid w:val="0020610C"/>
    <w:rsid w:val="002142AB"/>
    <w:rsid w:val="00232A83"/>
    <w:rsid w:val="00236986"/>
    <w:rsid w:val="002537B1"/>
    <w:rsid w:val="00255065"/>
    <w:rsid w:val="002804B9"/>
    <w:rsid w:val="00280586"/>
    <w:rsid w:val="00284004"/>
    <w:rsid w:val="00286135"/>
    <w:rsid w:val="00291A57"/>
    <w:rsid w:val="00292DD8"/>
    <w:rsid w:val="002957DF"/>
    <w:rsid w:val="00296C83"/>
    <w:rsid w:val="002B00E5"/>
    <w:rsid w:val="002B7C4A"/>
    <w:rsid w:val="002C031F"/>
    <w:rsid w:val="002C3897"/>
    <w:rsid w:val="002C6FEC"/>
    <w:rsid w:val="002D17AC"/>
    <w:rsid w:val="002D3299"/>
    <w:rsid w:val="002E09B0"/>
    <w:rsid w:val="002E0BD8"/>
    <w:rsid w:val="002E59AD"/>
    <w:rsid w:val="002F022B"/>
    <w:rsid w:val="002F468D"/>
    <w:rsid w:val="003043A9"/>
    <w:rsid w:val="00311369"/>
    <w:rsid w:val="003157B4"/>
    <w:rsid w:val="00322CBB"/>
    <w:rsid w:val="0032627C"/>
    <w:rsid w:val="00326B3B"/>
    <w:rsid w:val="00337134"/>
    <w:rsid w:val="00341D2D"/>
    <w:rsid w:val="00355FB5"/>
    <w:rsid w:val="00367D91"/>
    <w:rsid w:val="00375ED6"/>
    <w:rsid w:val="00382D9E"/>
    <w:rsid w:val="003A0D16"/>
    <w:rsid w:val="003A279F"/>
    <w:rsid w:val="003A5EB0"/>
    <w:rsid w:val="003A69DB"/>
    <w:rsid w:val="003A7AA2"/>
    <w:rsid w:val="003B2D63"/>
    <w:rsid w:val="003B30D4"/>
    <w:rsid w:val="003C3B04"/>
    <w:rsid w:val="003C3E2C"/>
    <w:rsid w:val="003C740D"/>
    <w:rsid w:val="003E1352"/>
    <w:rsid w:val="003E1EC5"/>
    <w:rsid w:val="003E660B"/>
    <w:rsid w:val="003F0594"/>
    <w:rsid w:val="003F197A"/>
    <w:rsid w:val="003F382D"/>
    <w:rsid w:val="003F5467"/>
    <w:rsid w:val="00405C94"/>
    <w:rsid w:val="004129A6"/>
    <w:rsid w:val="004174FF"/>
    <w:rsid w:val="004307EE"/>
    <w:rsid w:val="00453620"/>
    <w:rsid w:val="0045622F"/>
    <w:rsid w:val="004569E1"/>
    <w:rsid w:val="004607BE"/>
    <w:rsid w:val="004665FC"/>
    <w:rsid w:val="00472441"/>
    <w:rsid w:val="00473646"/>
    <w:rsid w:val="004812B1"/>
    <w:rsid w:val="0048196C"/>
    <w:rsid w:val="00486F07"/>
    <w:rsid w:val="00493033"/>
    <w:rsid w:val="004935F1"/>
    <w:rsid w:val="00493A55"/>
    <w:rsid w:val="00494ADF"/>
    <w:rsid w:val="00496F8B"/>
    <w:rsid w:val="004A079B"/>
    <w:rsid w:val="004A44A4"/>
    <w:rsid w:val="004B7B50"/>
    <w:rsid w:val="004C75D6"/>
    <w:rsid w:val="004D5C0E"/>
    <w:rsid w:val="004E6045"/>
    <w:rsid w:val="004E6558"/>
    <w:rsid w:val="004F71E0"/>
    <w:rsid w:val="00503E44"/>
    <w:rsid w:val="00514528"/>
    <w:rsid w:val="00521198"/>
    <w:rsid w:val="005231A8"/>
    <w:rsid w:val="005251DA"/>
    <w:rsid w:val="005325B0"/>
    <w:rsid w:val="00542F08"/>
    <w:rsid w:val="005546FA"/>
    <w:rsid w:val="00554F3E"/>
    <w:rsid w:val="00560202"/>
    <w:rsid w:val="00572432"/>
    <w:rsid w:val="0057391F"/>
    <w:rsid w:val="0057792B"/>
    <w:rsid w:val="00583528"/>
    <w:rsid w:val="00596562"/>
    <w:rsid w:val="005A3063"/>
    <w:rsid w:val="005A3DC8"/>
    <w:rsid w:val="005A4E00"/>
    <w:rsid w:val="005A7D7B"/>
    <w:rsid w:val="005C5E29"/>
    <w:rsid w:val="005E6FD7"/>
    <w:rsid w:val="005E703A"/>
    <w:rsid w:val="005E7C3A"/>
    <w:rsid w:val="005F4335"/>
    <w:rsid w:val="00603A55"/>
    <w:rsid w:val="00615FD0"/>
    <w:rsid w:val="00623690"/>
    <w:rsid w:val="00630272"/>
    <w:rsid w:val="006308D6"/>
    <w:rsid w:val="006313D3"/>
    <w:rsid w:val="006451C7"/>
    <w:rsid w:val="006500F4"/>
    <w:rsid w:val="00654445"/>
    <w:rsid w:val="00656876"/>
    <w:rsid w:val="00660C20"/>
    <w:rsid w:val="00661450"/>
    <w:rsid w:val="0066525B"/>
    <w:rsid w:val="006725E0"/>
    <w:rsid w:val="00673077"/>
    <w:rsid w:val="00676A4D"/>
    <w:rsid w:val="00676E8C"/>
    <w:rsid w:val="0068553F"/>
    <w:rsid w:val="00693456"/>
    <w:rsid w:val="00693D9D"/>
    <w:rsid w:val="00694A9D"/>
    <w:rsid w:val="006A2700"/>
    <w:rsid w:val="006A2871"/>
    <w:rsid w:val="006A5E2A"/>
    <w:rsid w:val="006C01A5"/>
    <w:rsid w:val="006D6214"/>
    <w:rsid w:val="006D6441"/>
    <w:rsid w:val="006E345D"/>
    <w:rsid w:val="006E5A84"/>
    <w:rsid w:val="006F145B"/>
    <w:rsid w:val="006F24A1"/>
    <w:rsid w:val="00711425"/>
    <w:rsid w:val="00713B3C"/>
    <w:rsid w:val="00716B1E"/>
    <w:rsid w:val="00717F6B"/>
    <w:rsid w:val="00720A33"/>
    <w:rsid w:val="00722E3D"/>
    <w:rsid w:val="00743E7D"/>
    <w:rsid w:val="00753C36"/>
    <w:rsid w:val="00754E35"/>
    <w:rsid w:val="00756F94"/>
    <w:rsid w:val="007602D3"/>
    <w:rsid w:val="007603EF"/>
    <w:rsid w:val="00765EE7"/>
    <w:rsid w:val="007660F6"/>
    <w:rsid w:val="00780784"/>
    <w:rsid w:val="00782257"/>
    <w:rsid w:val="007869E0"/>
    <w:rsid w:val="00790524"/>
    <w:rsid w:val="0079430F"/>
    <w:rsid w:val="00794696"/>
    <w:rsid w:val="00796739"/>
    <w:rsid w:val="007A2E81"/>
    <w:rsid w:val="007B011D"/>
    <w:rsid w:val="007C026F"/>
    <w:rsid w:val="007C32F5"/>
    <w:rsid w:val="007C5C9B"/>
    <w:rsid w:val="007D220E"/>
    <w:rsid w:val="007D3541"/>
    <w:rsid w:val="007D35D5"/>
    <w:rsid w:val="007D6C7E"/>
    <w:rsid w:val="007D7CED"/>
    <w:rsid w:val="007E014A"/>
    <w:rsid w:val="007E30F0"/>
    <w:rsid w:val="007E56B7"/>
    <w:rsid w:val="007E7875"/>
    <w:rsid w:val="007E7CD0"/>
    <w:rsid w:val="007E7F41"/>
    <w:rsid w:val="00801AC6"/>
    <w:rsid w:val="00802647"/>
    <w:rsid w:val="0080793A"/>
    <w:rsid w:val="00807B3E"/>
    <w:rsid w:val="008215C5"/>
    <w:rsid w:val="00826189"/>
    <w:rsid w:val="00846AC6"/>
    <w:rsid w:val="00861882"/>
    <w:rsid w:val="00871359"/>
    <w:rsid w:val="00875523"/>
    <w:rsid w:val="00885F58"/>
    <w:rsid w:val="00887786"/>
    <w:rsid w:val="00887B8B"/>
    <w:rsid w:val="00892820"/>
    <w:rsid w:val="008971A0"/>
    <w:rsid w:val="008971A5"/>
    <w:rsid w:val="00897DF8"/>
    <w:rsid w:val="008B175C"/>
    <w:rsid w:val="008B23D1"/>
    <w:rsid w:val="008D1CFB"/>
    <w:rsid w:val="008D67B6"/>
    <w:rsid w:val="008D67EF"/>
    <w:rsid w:val="008E11C4"/>
    <w:rsid w:val="008E23BD"/>
    <w:rsid w:val="008F0EA0"/>
    <w:rsid w:val="008F43B1"/>
    <w:rsid w:val="008F64D4"/>
    <w:rsid w:val="009000C5"/>
    <w:rsid w:val="00902C1E"/>
    <w:rsid w:val="00906827"/>
    <w:rsid w:val="009156DA"/>
    <w:rsid w:val="00921E55"/>
    <w:rsid w:val="0092378C"/>
    <w:rsid w:val="00925282"/>
    <w:rsid w:val="00932451"/>
    <w:rsid w:val="009330B1"/>
    <w:rsid w:val="00934AE9"/>
    <w:rsid w:val="00941C8B"/>
    <w:rsid w:val="0094480E"/>
    <w:rsid w:val="00950181"/>
    <w:rsid w:val="0095378B"/>
    <w:rsid w:val="009561C5"/>
    <w:rsid w:val="009566F5"/>
    <w:rsid w:val="009602D3"/>
    <w:rsid w:val="00963BA6"/>
    <w:rsid w:val="00967BF5"/>
    <w:rsid w:val="00967EFB"/>
    <w:rsid w:val="00976B70"/>
    <w:rsid w:val="0098038A"/>
    <w:rsid w:val="009830D6"/>
    <w:rsid w:val="00983446"/>
    <w:rsid w:val="00985CA3"/>
    <w:rsid w:val="0099377A"/>
    <w:rsid w:val="00995D09"/>
    <w:rsid w:val="009A4053"/>
    <w:rsid w:val="009A5D5D"/>
    <w:rsid w:val="009B56F5"/>
    <w:rsid w:val="009B63A7"/>
    <w:rsid w:val="009B695C"/>
    <w:rsid w:val="009B6D88"/>
    <w:rsid w:val="009C466C"/>
    <w:rsid w:val="009C6CF4"/>
    <w:rsid w:val="009C7722"/>
    <w:rsid w:val="009E27D6"/>
    <w:rsid w:val="009E3948"/>
    <w:rsid w:val="009E5629"/>
    <w:rsid w:val="009F451D"/>
    <w:rsid w:val="00A01CE3"/>
    <w:rsid w:val="00A04108"/>
    <w:rsid w:val="00A05484"/>
    <w:rsid w:val="00A11B85"/>
    <w:rsid w:val="00A228C1"/>
    <w:rsid w:val="00A233A2"/>
    <w:rsid w:val="00A23B9B"/>
    <w:rsid w:val="00A2424E"/>
    <w:rsid w:val="00A252B4"/>
    <w:rsid w:val="00A2537F"/>
    <w:rsid w:val="00A25560"/>
    <w:rsid w:val="00A3019E"/>
    <w:rsid w:val="00A3397E"/>
    <w:rsid w:val="00A355B3"/>
    <w:rsid w:val="00A46D2E"/>
    <w:rsid w:val="00A539C0"/>
    <w:rsid w:val="00A54B66"/>
    <w:rsid w:val="00A70FD5"/>
    <w:rsid w:val="00A75A9A"/>
    <w:rsid w:val="00A77000"/>
    <w:rsid w:val="00A95130"/>
    <w:rsid w:val="00AA0391"/>
    <w:rsid w:val="00AA2330"/>
    <w:rsid w:val="00AA30DE"/>
    <w:rsid w:val="00AC5E60"/>
    <w:rsid w:val="00AD3A6A"/>
    <w:rsid w:val="00AD3E0B"/>
    <w:rsid w:val="00AD4CB5"/>
    <w:rsid w:val="00AD5574"/>
    <w:rsid w:val="00AE2692"/>
    <w:rsid w:val="00AF7D50"/>
    <w:rsid w:val="00B00E44"/>
    <w:rsid w:val="00B01E81"/>
    <w:rsid w:val="00B0323B"/>
    <w:rsid w:val="00B06228"/>
    <w:rsid w:val="00B07998"/>
    <w:rsid w:val="00B13D02"/>
    <w:rsid w:val="00B13EAC"/>
    <w:rsid w:val="00B14EBE"/>
    <w:rsid w:val="00B15931"/>
    <w:rsid w:val="00B17E25"/>
    <w:rsid w:val="00B21072"/>
    <w:rsid w:val="00B24411"/>
    <w:rsid w:val="00B256C9"/>
    <w:rsid w:val="00B33EA3"/>
    <w:rsid w:val="00B40720"/>
    <w:rsid w:val="00B5509A"/>
    <w:rsid w:val="00B634CA"/>
    <w:rsid w:val="00B64439"/>
    <w:rsid w:val="00B76E8A"/>
    <w:rsid w:val="00B76EBB"/>
    <w:rsid w:val="00B83B69"/>
    <w:rsid w:val="00B97AE3"/>
    <w:rsid w:val="00B97C78"/>
    <w:rsid w:val="00BA089C"/>
    <w:rsid w:val="00BA2576"/>
    <w:rsid w:val="00BA3808"/>
    <w:rsid w:val="00BA4065"/>
    <w:rsid w:val="00BA5328"/>
    <w:rsid w:val="00BB0323"/>
    <w:rsid w:val="00BB1150"/>
    <w:rsid w:val="00BB207C"/>
    <w:rsid w:val="00BB7BC6"/>
    <w:rsid w:val="00BC25B4"/>
    <w:rsid w:val="00BC5378"/>
    <w:rsid w:val="00BD649D"/>
    <w:rsid w:val="00BE20E5"/>
    <w:rsid w:val="00BE342F"/>
    <w:rsid w:val="00BE41BF"/>
    <w:rsid w:val="00BF034D"/>
    <w:rsid w:val="00BF307A"/>
    <w:rsid w:val="00BF3D6D"/>
    <w:rsid w:val="00C0085A"/>
    <w:rsid w:val="00C03999"/>
    <w:rsid w:val="00C112C9"/>
    <w:rsid w:val="00C22A9F"/>
    <w:rsid w:val="00C22B19"/>
    <w:rsid w:val="00C235BB"/>
    <w:rsid w:val="00C30C0F"/>
    <w:rsid w:val="00C32061"/>
    <w:rsid w:val="00C32899"/>
    <w:rsid w:val="00C44FA6"/>
    <w:rsid w:val="00C52210"/>
    <w:rsid w:val="00C525F7"/>
    <w:rsid w:val="00C54950"/>
    <w:rsid w:val="00C56AFA"/>
    <w:rsid w:val="00C62E03"/>
    <w:rsid w:val="00C7171F"/>
    <w:rsid w:val="00C73E49"/>
    <w:rsid w:val="00C82BAA"/>
    <w:rsid w:val="00C91755"/>
    <w:rsid w:val="00C92494"/>
    <w:rsid w:val="00CA3386"/>
    <w:rsid w:val="00CA4F8A"/>
    <w:rsid w:val="00CB0F09"/>
    <w:rsid w:val="00CB6BF0"/>
    <w:rsid w:val="00CC3032"/>
    <w:rsid w:val="00CD2130"/>
    <w:rsid w:val="00CD567A"/>
    <w:rsid w:val="00CD5993"/>
    <w:rsid w:val="00CF5714"/>
    <w:rsid w:val="00CF5BC2"/>
    <w:rsid w:val="00D02B01"/>
    <w:rsid w:val="00D06105"/>
    <w:rsid w:val="00D06585"/>
    <w:rsid w:val="00D071BA"/>
    <w:rsid w:val="00D076D9"/>
    <w:rsid w:val="00D40D83"/>
    <w:rsid w:val="00D45497"/>
    <w:rsid w:val="00D46D2A"/>
    <w:rsid w:val="00D51943"/>
    <w:rsid w:val="00D51C55"/>
    <w:rsid w:val="00D56A66"/>
    <w:rsid w:val="00D652B2"/>
    <w:rsid w:val="00D66FF5"/>
    <w:rsid w:val="00D77004"/>
    <w:rsid w:val="00D856B4"/>
    <w:rsid w:val="00D8774D"/>
    <w:rsid w:val="00DA5E6E"/>
    <w:rsid w:val="00DB66E7"/>
    <w:rsid w:val="00DC42BE"/>
    <w:rsid w:val="00DD1868"/>
    <w:rsid w:val="00DE64EE"/>
    <w:rsid w:val="00DF0B25"/>
    <w:rsid w:val="00DF19BD"/>
    <w:rsid w:val="00E03DD6"/>
    <w:rsid w:val="00E12AAF"/>
    <w:rsid w:val="00E260D9"/>
    <w:rsid w:val="00E323FD"/>
    <w:rsid w:val="00E450C1"/>
    <w:rsid w:val="00E51E37"/>
    <w:rsid w:val="00E56694"/>
    <w:rsid w:val="00E6273C"/>
    <w:rsid w:val="00E64D21"/>
    <w:rsid w:val="00E72349"/>
    <w:rsid w:val="00E759C2"/>
    <w:rsid w:val="00E84FEB"/>
    <w:rsid w:val="00E9270E"/>
    <w:rsid w:val="00E93879"/>
    <w:rsid w:val="00E976C5"/>
    <w:rsid w:val="00EA79AE"/>
    <w:rsid w:val="00EB05BE"/>
    <w:rsid w:val="00ED039B"/>
    <w:rsid w:val="00ED5B0B"/>
    <w:rsid w:val="00ED5B8D"/>
    <w:rsid w:val="00EE0021"/>
    <w:rsid w:val="00EE4E3C"/>
    <w:rsid w:val="00EF2F5D"/>
    <w:rsid w:val="00EF638C"/>
    <w:rsid w:val="00F03316"/>
    <w:rsid w:val="00F0741C"/>
    <w:rsid w:val="00F14D5D"/>
    <w:rsid w:val="00F31829"/>
    <w:rsid w:val="00F32D2A"/>
    <w:rsid w:val="00F32E80"/>
    <w:rsid w:val="00F330AC"/>
    <w:rsid w:val="00F36A95"/>
    <w:rsid w:val="00F3719C"/>
    <w:rsid w:val="00F43B8B"/>
    <w:rsid w:val="00F44045"/>
    <w:rsid w:val="00F457C8"/>
    <w:rsid w:val="00F46844"/>
    <w:rsid w:val="00F52ACC"/>
    <w:rsid w:val="00F61DA7"/>
    <w:rsid w:val="00F63CFC"/>
    <w:rsid w:val="00F64E1A"/>
    <w:rsid w:val="00F65B55"/>
    <w:rsid w:val="00F76CF3"/>
    <w:rsid w:val="00F77556"/>
    <w:rsid w:val="00F82AF4"/>
    <w:rsid w:val="00F83AF2"/>
    <w:rsid w:val="00F853A2"/>
    <w:rsid w:val="00F874F0"/>
    <w:rsid w:val="00F9679D"/>
    <w:rsid w:val="00F96913"/>
    <w:rsid w:val="00FA04F8"/>
    <w:rsid w:val="00FB549C"/>
    <w:rsid w:val="00FB78EE"/>
    <w:rsid w:val="00FC6E59"/>
    <w:rsid w:val="00FD00F8"/>
    <w:rsid w:val="00FD5AE7"/>
    <w:rsid w:val="00FE05FA"/>
    <w:rsid w:val="00FE2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6DCA8"/>
  <w15:chartTrackingRefBased/>
  <w15:docId w15:val="{88E19E38-903F-412F-B4E9-17CF375B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2FB"/>
    <w:pPr>
      <w:spacing w:after="0" w:line="240" w:lineRule="auto"/>
      <w:jc w:val="both"/>
    </w:pPr>
    <w:rPr>
      <w:rFonts w:ascii="Arial" w:hAnsi="Arial"/>
      <w:sz w:val="20"/>
      <w:lang w:val="es-CO"/>
    </w:rPr>
  </w:style>
  <w:style w:type="paragraph" w:styleId="Ttulo1">
    <w:name w:val="heading 1"/>
    <w:basedOn w:val="Normal"/>
    <w:next w:val="Normal"/>
    <w:link w:val="Ttulo1Car"/>
    <w:uiPriority w:val="9"/>
    <w:qFormat/>
    <w:rsid w:val="00F46844"/>
    <w:pPr>
      <w:keepNext/>
      <w:keepLines/>
      <w:outlineLvl w:val="0"/>
    </w:pPr>
    <w:rPr>
      <w:rFonts w:eastAsiaTheme="majorEastAsia" w:cstheme="majorBidi"/>
      <w:b/>
      <w:caps/>
      <w:szCs w:val="32"/>
    </w:rPr>
  </w:style>
  <w:style w:type="paragraph" w:styleId="Ttulo2">
    <w:name w:val="heading 2"/>
    <w:basedOn w:val="Normal"/>
    <w:next w:val="Normal"/>
    <w:link w:val="Ttulo2Car"/>
    <w:uiPriority w:val="9"/>
    <w:qFormat/>
    <w:rsid w:val="00D51943"/>
    <w:pPr>
      <w:keepNext/>
      <w:keepLines/>
      <w:outlineLvl w:val="1"/>
    </w:pPr>
    <w:rPr>
      <w:rFonts w:eastAsiaTheme="majorEastAsia" w:cstheme="majorBidi"/>
      <w:b/>
      <w:caps/>
      <w:szCs w:val="26"/>
    </w:rPr>
  </w:style>
  <w:style w:type="paragraph" w:styleId="Ttulo3">
    <w:name w:val="heading 3"/>
    <w:basedOn w:val="Normal"/>
    <w:next w:val="Normal"/>
    <w:link w:val="Ttulo3Car"/>
    <w:uiPriority w:val="9"/>
    <w:qFormat/>
    <w:rsid w:val="00D51943"/>
    <w:pPr>
      <w:keepNext/>
      <w:keepLines/>
      <w:outlineLvl w:val="2"/>
    </w:pPr>
    <w:rPr>
      <w:rFonts w:eastAsiaTheme="majorEastAsia" w:cstheme="majorBidi"/>
      <w:b/>
      <w:szCs w:val="24"/>
    </w:rPr>
  </w:style>
  <w:style w:type="paragraph" w:styleId="Ttulo4">
    <w:name w:val="heading 4"/>
    <w:basedOn w:val="Normal"/>
    <w:next w:val="Normal"/>
    <w:link w:val="Ttulo4Car"/>
    <w:uiPriority w:val="9"/>
    <w:qFormat/>
    <w:rsid w:val="00D51943"/>
    <w:pPr>
      <w:keepNext/>
      <w:keepLines/>
      <w:outlineLvl w:val="3"/>
    </w:pPr>
    <w:rPr>
      <w:rFonts w:eastAsiaTheme="majorEastAsia" w:cstheme="majorBidi"/>
      <w:b/>
      <w:iCs/>
    </w:rPr>
  </w:style>
  <w:style w:type="paragraph" w:styleId="Ttulo5">
    <w:name w:val="heading 5"/>
    <w:basedOn w:val="Normal"/>
    <w:next w:val="Normal"/>
    <w:link w:val="Ttulo5Car"/>
    <w:uiPriority w:val="9"/>
    <w:qFormat/>
    <w:rsid w:val="00D51943"/>
    <w:pPr>
      <w:keepNext/>
      <w:keepLines/>
      <w:outlineLvl w:val="4"/>
    </w:pPr>
    <w:rPr>
      <w:rFonts w:eastAsiaTheme="majorEastAsia"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46844"/>
    <w:rPr>
      <w:rFonts w:ascii="Arial" w:eastAsiaTheme="majorEastAsia" w:hAnsi="Arial" w:cstheme="majorBidi"/>
      <w:b/>
      <w:caps/>
      <w:sz w:val="20"/>
      <w:szCs w:val="32"/>
      <w:lang w:val="es-CO"/>
    </w:rPr>
  </w:style>
  <w:style w:type="character" w:customStyle="1" w:styleId="Ttulo2Car">
    <w:name w:val="Título 2 Car"/>
    <w:basedOn w:val="Fuentedeprrafopredeter"/>
    <w:link w:val="Ttulo2"/>
    <w:uiPriority w:val="9"/>
    <w:rsid w:val="00D51943"/>
    <w:rPr>
      <w:rFonts w:ascii="Arial" w:eastAsiaTheme="majorEastAsia" w:hAnsi="Arial" w:cstheme="majorBidi"/>
      <w:b/>
      <w:caps/>
      <w:sz w:val="20"/>
      <w:szCs w:val="26"/>
    </w:rPr>
  </w:style>
  <w:style w:type="paragraph" w:styleId="Ttulo">
    <w:name w:val="Title"/>
    <w:basedOn w:val="Normal"/>
    <w:next w:val="Normal"/>
    <w:link w:val="TtuloCar"/>
    <w:uiPriority w:val="9"/>
    <w:qFormat/>
    <w:rsid w:val="00D51943"/>
    <w:pPr>
      <w:contextualSpacing/>
      <w:jc w:val="center"/>
    </w:pPr>
    <w:rPr>
      <w:rFonts w:eastAsiaTheme="majorEastAsia" w:cstheme="majorBidi"/>
      <w:b/>
      <w:caps/>
      <w:spacing w:val="-10"/>
      <w:kern w:val="28"/>
      <w:szCs w:val="56"/>
    </w:rPr>
  </w:style>
  <w:style w:type="character" w:customStyle="1" w:styleId="TtuloCar">
    <w:name w:val="Título Car"/>
    <w:basedOn w:val="Fuentedeprrafopredeter"/>
    <w:link w:val="Ttulo"/>
    <w:uiPriority w:val="9"/>
    <w:rsid w:val="00D51943"/>
    <w:rPr>
      <w:rFonts w:ascii="Arial" w:eastAsiaTheme="majorEastAsia" w:hAnsi="Arial" w:cstheme="majorBidi"/>
      <w:b/>
      <w:caps/>
      <w:spacing w:val="-10"/>
      <w:kern w:val="28"/>
      <w:sz w:val="20"/>
      <w:szCs w:val="56"/>
    </w:rPr>
  </w:style>
  <w:style w:type="character" w:customStyle="1" w:styleId="Ttulo3Car">
    <w:name w:val="Título 3 Car"/>
    <w:basedOn w:val="Fuentedeprrafopredeter"/>
    <w:link w:val="Ttulo3"/>
    <w:uiPriority w:val="9"/>
    <w:rsid w:val="00D51943"/>
    <w:rPr>
      <w:rFonts w:ascii="Arial" w:eastAsiaTheme="majorEastAsia" w:hAnsi="Arial" w:cstheme="majorBidi"/>
      <w:b/>
      <w:sz w:val="20"/>
      <w:szCs w:val="24"/>
    </w:rPr>
  </w:style>
  <w:style w:type="character" w:customStyle="1" w:styleId="Ttulo4Car">
    <w:name w:val="Título 4 Car"/>
    <w:basedOn w:val="Fuentedeprrafopredeter"/>
    <w:link w:val="Ttulo4"/>
    <w:uiPriority w:val="9"/>
    <w:rsid w:val="00D51943"/>
    <w:rPr>
      <w:rFonts w:ascii="Arial" w:eastAsiaTheme="majorEastAsia" w:hAnsi="Arial" w:cstheme="majorBidi"/>
      <w:b/>
      <w:iCs/>
      <w:sz w:val="20"/>
    </w:rPr>
  </w:style>
  <w:style w:type="character" w:customStyle="1" w:styleId="Ttulo5Car">
    <w:name w:val="Título 5 Car"/>
    <w:basedOn w:val="Fuentedeprrafopredeter"/>
    <w:link w:val="Ttulo5"/>
    <w:uiPriority w:val="9"/>
    <w:rsid w:val="00D51943"/>
    <w:rPr>
      <w:rFonts w:ascii="Arial" w:eastAsiaTheme="majorEastAsia" w:hAnsi="Arial" w:cstheme="majorBidi"/>
      <w:sz w:val="20"/>
    </w:rPr>
  </w:style>
  <w:style w:type="paragraph" w:styleId="Descripcin">
    <w:name w:val="caption"/>
    <w:basedOn w:val="Normal"/>
    <w:next w:val="Normal"/>
    <w:uiPriority w:val="35"/>
    <w:unhideWhenUsed/>
    <w:qFormat/>
    <w:rsid w:val="00D51943"/>
    <w:pPr>
      <w:jc w:val="center"/>
    </w:pPr>
    <w:rPr>
      <w:b/>
      <w:iCs/>
      <w:sz w:val="18"/>
      <w:szCs w:val="18"/>
    </w:rPr>
  </w:style>
  <w:style w:type="paragraph" w:styleId="Encabezado">
    <w:name w:val="header"/>
    <w:basedOn w:val="Normal"/>
    <w:link w:val="EncabezadoCar"/>
    <w:uiPriority w:val="99"/>
    <w:unhideWhenUsed/>
    <w:rsid w:val="00985CA3"/>
    <w:pPr>
      <w:tabs>
        <w:tab w:val="center" w:pos="4419"/>
        <w:tab w:val="right" w:pos="8838"/>
      </w:tabs>
    </w:pPr>
  </w:style>
  <w:style w:type="character" w:customStyle="1" w:styleId="EncabezadoCar">
    <w:name w:val="Encabezado Car"/>
    <w:basedOn w:val="Fuentedeprrafopredeter"/>
    <w:link w:val="Encabezado"/>
    <w:uiPriority w:val="99"/>
    <w:rsid w:val="00985CA3"/>
    <w:rPr>
      <w:rFonts w:ascii="Arial" w:hAnsi="Arial"/>
      <w:sz w:val="20"/>
    </w:rPr>
  </w:style>
  <w:style w:type="paragraph" w:styleId="Piedepgina">
    <w:name w:val="footer"/>
    <w:basedOn w:val="Normal"/>
    <w:link w:val="PiedepginaCar"/>
    <w:uiPriority w:val="99"/>
    <w:unhideWhenUsed/>
    <w:rsid w:val="00985CA3"/>
    <w:pPr>
      <w:tabs>
        <w:tab w:val="center" w:pos="4419"/>
        <w:tab w:val="right" w:pos="8838"/>
      </w:tabs>
    </w:pPr>
  </w:style>
  <w:style w:type="character" w:customStyle="1" w:styleId="PiedepginaCar">
    <w:name w:val="Pie de página Car"/>
    <w:basedOn w:val="Fuentedeprrafopredeter"/>
    <w:link w:val="Piedepgina"/>
    <w:uiPriority w:val="99"/>
    <w:rsid w:val="00985CA3"/>
    <w:rPr>
      <w:rFonts w:ascii="Arial" w:hAnsi="Arial"/>
      <w:sz w:val="20"/>
    </w:rPr>
  </w:style>
  <w:style w:type="paragraph" w:styleId="TDC1">
    <w:name w:val="toc 1"/>
    <w:basedOn w:val="Normal"/>
    <w:next w:val="Normal"/>
    <w:autoRedefine/>
    <w:uiPriority w:val="39"/>
    <w:unhideWhenUsed/>
    <w:rsid w:val="00292DD8"/>
    <w:pPr>
      <w:spacing w:after="100"/>
    </w:pPr>
  </w:style>
  <w:style w:type="character" w:styleId="Hipervnculo">
    <w:name w:val="Hyperlink"/>
    <w:basedOn w:val="Fuentedeprrafopredeter"/>
    <w:uiPriority w:val="99"/>
    <w:unhideWhenUsed/>
    <w:rsid w:val="00292DD8"/>
    <w:rPr>
      <w:color w:val="0563C1" w:themeColor="hyperlink"/>
      <w:u w:val="single"/>
    </w:rPr>
  </w:style>
  <w:style w:type="table" w:styleId="Tablaconcuadrcula">
    <w:name w:val="Table Grid"/>
    <w:aliases w:val="SGI,Petrominerales,sin cuadricula,Tabla GEOCOL,petro,Tabla sin cuadrícula,Tabla con cuadrícula-1,Capítulo 1 PMA - Tabla,Parte II PMA - Tabla,Capítulo 4 PMA - Tabla,Capítulo 8 EIA - Fotografía"/>
    <w:basedOn w:val="Tablanormal"/>
    <w:uiPriority w:val="59"/>
    <w:qFormat/>
    <w:rsid w:val="00846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46AC6"/>
    <w:rPr>
      <w:sz w:val="16"/>
      <w:szCs w:val="16"/>
    </w:rPr>
  </w:style>
  <w:style w:type="paragraph" w:styleId="Textocomentario">
    <w:name w:val="annotation text"/>
    <w:basedOn w:val="Normal"/>
    <w:link w:val="TextocomentarioCar"/>
    <w:uiPriority w:val="99"/>
    <w:semiHidden/>
    <w:unhideWhenUsed/>
    <w:rsid w:val="00846AC6"/>
    <w:rPr>
      <w:szCs w:val="20"/>
    </w:rPr>
  </w:style>
  <w:style w:type="character" w:customStyle="1" w:styleId="TextocomentarioCar">
    <w:name w:val="Texto comentario Car"/>
    <w:basedOn w:val="Fuentedeprrafopredeter"/>
    <w:link w:val="Textocomentario"/>
    <w:uiPriority w:val="99"/>
    <w:semiHidden/>
    <w:rsid w:val="00846AC6"/>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846AC6"/>
    <w:rPr>
      <w:b/>
      <w:bCs/>
    </w:rPr>
  </w:style>
  <w:style w:type="character" w:customStyle="1" w:styleId="AsuntodelcomentarioCar">
    <w:name w:val="Asunto del comentario Car"/>
    <w:basedOn w:val="TextocomentarioCar"/>
    <w:link w:val="Asuntodelcomentario"/>
    <w:uiPriority w:val="99"/>
    <w:semiHidden/>
    <w:rsid w:val="00846AC6"/>
    <w:rPr>
      <w:rFonts w:ascii="Arial" w:hAnsi="Arial"/>
      <w:b/>
      <w:bCs/>
      <w:sz w:val="20"/>
      <w:szCs w:val="20"/>
    </w:rPr>
  </w:style>
  <w:style w:type="paragraph" w:styleId="Textodeglobo">
    <w:name w:val="Balloon Text"/>
    <w:basedOn w:val="Normal"/>
    <w:link w:val="TextodegloboCar"/>
    <w:uiPriority w:val="99"/>
    <w:semiHidden/>
    <w:unhideWhenUsed/>
    <w:rsid w:val="00846A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46AC6"/>
    <w:rPr>
      <w:rFonts w:ascii="Segoe UI" w:hAnsi="Segoe UI" w:cs="Segoe UI"/>
      <w:sz w:val="18"/>
      <w:szCs w:val="18"/>
    </w:rPr>
  </w:style>
  <w:style w:type="table" w:customStyle="1" w:styleId="Tablaconcuadrcula1">
    <w:name w:val="Tabla con cuadrícula1"/>
    <w:basedOn w:val="Tablanormal"/>
    <w:next w:val="Tablaconcuadrcula"/>
    <w:uiPriority w:val="39"/>
    <w:rsid w:val="00846AC6"/>
    <w:pPr>
      <w:spacing w:after="0" w:line="240" w:lineRule="auto"/>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87552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082827"/>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F31829"/>
    <w:pPr>
      <w:spacing w:line="276" w:lineRule="auto"/>
      <w:ind w:left="720"/>
      <w:contextualSpacing/>
      <w:jc w:val="center"/>
    </w:pPr>
    <w:rPr>
      <w:rFonts w:ascii="Calibri" w:eastAsia="Calibri" w:hAnsi="Calibri" w:cs="Times New Roman"/>
      <w:sz w:val="22"/>
    </w:rPr>
  </w:style>
  <w:style w:type="paragraph" w:styleId="TDC3">
    <w:name w:val="toc 3"/>
    <w:basedOn w:val="Normal"/>
    <w:next w:val="Normal"/>
    <w:autoRedefine/>
    <w:uiPriority w:val="39"/>
    <w:unhideWhenUsed/>
    <w:rsid w:val="00006401"/>
    <w:pPr>
      <w:spacing w:after="100"/>
      <w:ind w:left="400"/>
    </w:pPr>
  </w:style>
  <w:style w:type="paragraph" w:styleId="NormalWeb">
    <w:name w:val="Normal (Web)"/>
    <w:basedOn w:val="Normal"/>
    <w:uiPriority w:val="99"/>
    <w:semiHidden/>
    <w:unhideWhenUsed/>
    <w:rsid w:val="00B97AE3"/>
    <w:pPr>
      <w:spacing w:before="100" w:beforeAutospacing="1" w:after="100" w:afterAutospacing="1"/>
      <w:jc w:val="left"/>
    </w:pPr>
    <w:rPr>
      <w:rFonts w:ascii="Times New Roman" w:eastAsiaTheme="minorEastAsia" w:hAnsi="Times New Roman" w:cs="Times New Roman"/>
      <w:sz w:val="24"/>
      <w:szCs w:val="24"/>
      <w:lang w:eastAsia="es-CO"/>
    </w:rPr>
  </w:style>
  <w:style w:type="paragraph" w:customStyle="1" w:styleId="Vieta1">
    <w:name w:val="Viñeta 1"/>
    <w:basedOn w:val="Normal"/>
    <w:link w:val="Vieta1Car"/>
    <w:qFormat/>
    <w:rsid w:val="00C91755"/>
    <w:pPr>
      <w:numPr>
        <w:numId w:val="3"/>
      </w:numPr>
      <w:spacing w:before="240" w:after="240"/>
      <w:ind w:left="360"/>
    </w:pPr>
    <w:rPr>
      <w:b/>
      <w:color w:val="000000" w:themeColor="text1"/>
      <w:sz w:val="18"/>
    </w:rPr>
  </w:style>
  <w:style w:type="character" w:customStyle="1" w:styleId="Vieta1Car">
    <w:name w:val="Viñeta 1 Car"/>
    <w:basedOn w:val="Fuentedeprrafopredeter"/>
    <w:link w:val="Vieta1"/>
    <w:rsid w:val="00C91755"/>
    <w:rPr>
      <w:rFonts w:ascii="Arial" w:hAnsi="Arial"/>
      <w:b/>
      <w:color w:val="000000" w:themeColor="text1"/>
      <w:sz w:val="18"/>
      <w:lang w:val="es-CO"/>
    </w:rPr>
  </w:style>
  <w:style w:type="paragraph" w:customStyle="1" w:styleId="Default">
    <w:name w:val="Default"/>
    <w:rsid w:val="003A7AA2"/>
    <w:pPr>
      <w:autoSpaceDE w:val="0"/>
      <w:autoSpaceDN w:val="0"/>
      <w:adjustRightInd w:val="0"/>
      <w:spacing w:after="0" w:line="240" w:lineRule="auto"/>
    </w:pPr>
    <w:rPr>
      <w:rFonts w:ascii="Arial" w:eastAsia="Calibri" w:hAnsi="Arial" w:cs="Arial"/>
      <w:color w:val="000000"/>
      <w:sz w:val="24"/>
      <w:szCs w:val="24"/>
      <w:lang w:val="es-CO"/>
    </w:rPr>
  </w:style>
  <w:style w:type="table" w:customStyle="1" w:styleId="Captulo8EIA-Fotografa1">
    <w:name w:val="Capítulo 8 EIA - Fotografía1"/>
    <w:basedOn w:val="Tablanormal"/>
    <w:next w:val="Tablaconcuadrcula"/>
    <w:uiPriority w:val="59"/>
    <w:qFormat/>
    <w:rsid w:val="003A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ptulo8EIA-Fotografa11">
    <w:name w:val="Capítulo 8 EIA - Fotografía11"/>
    <w:basedOn w:val="Tablanormal"/>
    <w:next w:val="Tablaconcuadrcula"/>
    <w:uiPriority w:val="59"/>
    <w:qFormat/>
    <w:rsid w:val="003A5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3">
    <w:name w:val="Grid Table 4 Accent 3"/>
    <w:basedOn w:val="Tablanormal"/>
    <w:uiPriority w:val="49"/>
    <w:rsid w:val="009561C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nfasis5">
    <w:name w:val="Grid Table 4 Accent 5"/>
    <w:basedOn w:val="Tablanormal"/>
    <w:uiPriority w:val="49"/>
    <w:rsid w:val="009561C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cuadrcula4-nfasis1">
    <w:name w:val="Grid Table 4 Accent 1"/>
    <w:basedOn w:val="Tablanormal"/>
    <w:uiPriority w:val="49"/>
    <w:rsid w:val="00137AF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02782">
      <w:bodyDiv w:val="1"/>
      <w:marLeft w:val="0"/>
      <w:marRight w:val="0"/>
      <w:marTop w:val="0"/>
      <w:marBottom w:val="0"/>
      <w:divBdr>
        <w:top w:val="none" w:sz="0" w:space="0" w:color="auto"/>
        <w:left w:val="none" w:sz="0" w:space="0" w:color="auto"/>
        <w:bottom w:val="none" w:sz="0" w:space="0" w:color="auto"/>
        <w:right w:val="none" w:sz="0" w:space="0" w:color="auto"/>
      </w:divBdr>
    </w:div>
    <w:div w:id="222912940">
      <w:bodyDiv w:val="1"/>
      <w:marLeft w:val="0"/>
      <w:marRight w:val="0"/>
      <w:marTop w:val="0"/>
      <w:marBottom w:val="0"/>
      <w:divBdr>
        <w:top w:val="none" w:sz="0" w:space="0" w:color="auto"/>
        <w:left w:val="none" w:sz="0" w:space="0" w:color="auto"/>
        <w:bottom w:val="none" w:sz="0" w:space="0" w:color="auto"/>
        <w:right w:val="none" w:sz="0" w:space="0" w:color="auto"/>
      </w:divBdr>
    </w:div>
    <w:div w:id="230580874">
      <w:bodyDiv w:val="1"/>
      <w:marLeft w:val="0"/>
      <w:marRight w:val="0"/>
      <w:marTop w:val="0"/>
      <w:marBottom w:val="0"/>
      <w:divBdr>
        <w:top w:val="none" w:sz="0" w:space="0" w:color="auto"/>
        <w:left w:val="none" w:sz="0" w:space="0" w:color="auto"/>
        <w:bottom w:val="none" w:sz="0" w:space="0" w:color="auto"/>
        <w:right w:val="none" w:sz="0" w:space="0" w:color="auto"/>
      </w:divBdr>
    </w:div>
    <w:div w:id="366873194">
      <w:bodyDiv w:val="1"/>
      <w:marLeft w:val="0"/>
      <w:marRight w:val="0"/>
      <w:marTop w:val="0"/>
      <w:marBottom w:val="0"/>
      <w:divBdr>
        <w:top w:val="none" w:sz="0" w:space="0" w:color="auto"/>
        <w:left w:val="none" w:sz="0" w:space="0" w:color="auto"/>
        <w:bottom w:val="none" w:sz="0" w:space="0" w:color="auto"/>
        <w:right w:val="none" w:sz="0" w:space="0" w:color="auto"/>
      </w:divBdr>
    </w:div>
    <w:div w:id="444157669">
      <w:bodyDiv w:val="1"/>
      <w:marLeft w:val="0"/>
      <w:marRight w:val="0"/>
      <w:marTop w:val="0"/>
      <w:marBottom w:val="0"/>
      <w:divBdr>
        <w:top w:val="none" w:sz="0" w:space="0" w:color="auto"/>
        <w:left w:val="none" w:sz="0" w:space="0" w:color="auto"/>
        <w:bottom w:val="none" w:sz="0" w:space="0" w:color="auto"/>
        <w:right w:val="none" w:sz="0" w:space="0" w:color="auto"/>
      </w:divBdr>
    </w:div>
    <w:div w:id="547498143">
      <w:bodyDiv w:val="1"/>
      <w:marLeft w:val="0"/>
      <w:marRight w:val="0"/>
      <w:marTop w:val="0"/>
      <w:marBottom w:val="0"/>
      <w:divBdr>
        <w:top w:val="none" w:sz="0" w:space="0" w:color="auto"/>
        <w:left w:val="none" w:sz="0" w:space="0" w:color="auto"/>
        <w:bottom w:val="none" w:sz="0" w:space="0" w:color="auto"/>
        <w:right w:val="none" w:sz="0" w:space="0" w:color="auto"/>
      </w:divBdr>
    </w:div>
    <w:div w:id="673798384">
      <w:bodyDiv w:val="1"/>
      <w:marLeft w:val="0"/>
      <w:marRight w:val="0"/>
      <w:marTop w:val="0"/>
      <w:marBottom w:val="0"/>
      <w:divBdr>
        <w:top w:val="none" w:sz="0" w:space="0" w:color="auto"/>
        <w:left w:val="none" w:sz="0" w:space="0" w:color="auto"/>
        <w:bottom w:val="none" w:sz="0" w:space="0" w:color="auto"/>
        <w:right w:val="none" w:sz="0" w:space="0" w:color="auto"/>
      </w:divBdr>
    </w:div>
    <w:div w:id="722480953">
      <w:bodyDiv w:val="1"/>
      <w:marLeft w:val="0"/>
      <w:marRight w:val="0"/>
      <w:marTop w:val="0"/>
      <w:marBottom w:val="0"/>
      <w:divBdr>
        <w:top w:val="none" w:sz="0" w:space="0" w:color="auto"/>
        <w:left w:val="none" w:sz="0" w:space="0" w:color="auto"/>
        <w:bottom w:val="none" w:sz="0" w:space="0" w:color="auto"/>
        <w:right w:val="none" w:sz="0" w:space="0" w:color="auto"/>
      </w:divBdr>
    </w:div>
    <w:div w:id="774984327">
      <w:bodyDiv w:val="1"/>
      <w:marLeft w:val="0"/>
      <w:marRight w:val="0"/>
      <w:marTop w:val="0"/>
      <w:marBottom w:val="0"/>
      <w:divBdr>
        <w:top w:val="none" w:sz="0" w:space="0" w:color="auto"/>
        <w:left w:val="none" w:sz="0" w:space="0" w:color="auto"/>
        <w:bottom w:val="none" w:sz="0" w:space="0" w:color="auto"/>
        <w:right w:val="none" w:sz="0" w:space="0" w:color="auto"/>
      </w:divBdr>
    </w:div>
    <w:div w:id="818308111">
      <w:bodyDiv w:val="1"/>
      <w:marLeft w:val="0"/>
      <w:marRight w:val="0"/>
      <w:marTop w:val="0"/>
      <w:marBottom w:val="0"/>
      <w:divBdr>
        <w:top w:val="none" w:sz="0" w:space="0" w:color="auto"/>
        <w:left w:val="none" w:sz="0" w:space="0" w:color="auto"/>
        <w:bottom w:val="none" w:sz="0" w:space="0" w:color="auto"/>
        <w:right w:val="none" w:sz="0" w:space="0" w:color="auto"/>
      </w:divBdr>
    </w:div>
    <w:div w:id="924651566">
      <w:bodyDiv w:val="1"/>
      <w:marLeft w:val="0"/>
      <w:marRight w:val="0"/>
      <w:marTop w:val="0"/>
      <w:marBottom w:val="0"/>
      <w:divBdr>
        <w:top w:val="none" w:sz="0" w:space="0" w:color="auto"/>
        <w:left w:val="none" w:sz="0" w:space="0" w:color="auto"/>
        <w:bottom w:val="none" w:sz="0" w:space="0" w:color="auto"/>
        <w:right w:val="none" w:sz="0" w:space="0" w:color="auto"/>
      </w:divBdr>
    </w:div>
    <w:div w:id="946809829">
      <w:bodyDiv w:val="1"/>
      <w:marLeft w:val="0"/>
      <w:marRight w:val="0"/>
      <w:marTop w:val="0"/>
      <w:marBottom w:val="0"/>
      <w:divBdr>
        <w:top w:val="none" w:sz="0" w:space="0" w:color="auto"/>
        <w:left w:val="none" w:sz="0" w:space="0" w:color="auto"/>
        <w:bottom w:val="none" w:sz="0" w:space="0" w:color="auto"/>
        <w:right w:val="none" w:sz="0" w:space="0" w:color="auto"/>
      </w:divBdr>
    </w:div>
    <w:div w:id="962232191">
      <w:bodyDiv w:val="1"/>
      <w:marLeft w:val="0"/>
      <w:marRight w:val="0"/>
      <w:marTop w:val="0"/>
      <w:marBottom w:val="0"/>
      <w:divBdr>
        <w:top w:val="none" w:sz="0" w:space="0" w:color="auto"/>
        <w:left w:val="none" w:sz="0" w:space="0" w:color="auto"/>
        <w:bottom w:val="none" w:sz="0" w:space="0" w:color="auto"/>
        <w:right w:val="none" w:sz="0" w:space="0" w:color="auto"/>
      </w:divBdr>
    </w:div>
    <w:div w:id="1067800654">
      <w:bodyDiv w:val="1"/>
      <w:marLeft w:val="0"/>
      <w:marRight w:val="0"/>
      <w:marTop w:val="0"/>
      <w:marBottom w:val="0"/>
      <w:divBdr>
        <w:top w:val="none" w:sz="0" w:space="0" w:color="auto"/>
        <w:left w:val="none" w:sz="0" w:space="0" w:color="auto"/>
        <w:bottom w:val="none" w:sz="0" w:space="0" w:color="auto"/>
        <w:right w:val="none" w:sz="0" w:space="0" w:color="auto"/>
      </w:divBdr>
    </w:div>
    <w:div w:id="1079986863">
      <w:bodyDiv w:val="1"/>
      <w:marLeft w:val="0"/>
      <w:marRight w:val="0"/>
      <w:marTop w:val="0"/>
      <w:marBottom w:val="0"/>
      <w:divBdr>
        <w:top w:val="none" w:sz="0" w:space="0" w:color="auto"/>
        <w:left w:val="none" w:sz="0" w:space="0" w:color="auto"/>
        <w:bottom w:val="none" w:sz="0" w:space="0" w:color="auto"/>
        <w:right w:val="none" w:sz="0" w:space="0" w:color="auto"/>
      </w:divBdr>
    </w:div>
    <w:div w:id="1127242277">
      <w:bodyDiv w:val="1"/>
      <w:marLeft w:val="0"/>
      <w:marRight w:val="0"/>
      <w:marTop w:val="0"/>
      <w:marBottom w:val="0"/>
      <w:divBdr>
        <w:top w:val="none" w:sz="0" w:space="0" w:color="auto"/>
        <w:left w:val="none" w:sz="0" w:space="0" w:color="auto"/>
        <w:bottom w:val="none" w:sz="0" w:space="0" w:color="auto"/>
        <w:right w:val="none" w:sz="0" w:space="0" w:color="auto"/>
      </w:divBdr>
    </w:div>
    <w:div w:id="1203635830">
      <w:bodyDiv w:val="1"/>
      <w:marLeft w:val="0"/>
      <w:marRight w:val="0"/>
      <w:marTop w:val="0"/>
      <w:marBottom w:val="0"/>
      <w:divBdr>
        <w:top w:val="none" w:sz="0" w:space="0" w:color="auto"/>
        <w:left w:val="none" w:sz="0" w:space="0" w:color="auto"/>
        <w:bottom w:val="none" w:sz="0" w:space="0" w:color="auto"/>
        <w:right w:val="none" w:sz="0" w:space="0" w:color="auto"/>
      </w:divBdr>
    </w:div>
    <w:div w:id="1425612796">
      <w:bodyDiv w:val="1"/>
      <w:marLeft w:val="0"/>
      <w:marRight w:val="0"/>
      <w:marTop w:val="0"/>
      <w:marBottom w:val="0"/>
      <w:divBdr>
        <w:top w:val="none" w:sz="0" w:space="0" w:color="auto"/>
        <w:left w:val="none" w:sz="0" w:space="0" w:color="auto"/>
        <w:bottom w:val="none" w:sz="0" w:space="0" w:color="auto"/>
        <w:right w:val="none" w:sz="0" w:space="0" w:color="auto"/>
      </w:divBdr>
    </w:div>
    <w:div w:id="1427656817">
      <w:bodyDiv w:val="1"/>
      <w:marLeft w:val="0"/>
      <w:marRight w:val="0"/>
      <w:marTop w:val="0"/>
      <w:marBottom w:val="0"/>
      <w:divBdr>
        <w:top w:val="none" w:sz="0" w:space="0" w:color="auto"/>
        <w:left w:val="none" w:sz="0" w:space="0" w:color="auto"/>
        <w:bottom w:val="none" w:sz="0" w:space="0" w:color="auto"/>
        <w:right w:val="none" w:sz="0" w:space="0" w:color="auto"/>
      </w:divBdr>
    </w:div>
    <w:div w:id="1450199529">
      <w:bodyDiv w:val="1"/>
      <w:marLeft w:val="0"/>
      <w:marRight w:val="0"/>
      <w:marTop w:val="0"/>
      <w:marBottom w:val="0"/>
      <w:divBdr>
        <w:top w:val="none" w:sz="0" w:space="0" w:color="auto"/>
        <w:left w:val="none" w:sz="0" w:space="0" w:color="auto"/>
        <w:bottom w:val="none" w:sz="0" w:space="0" w:color="auto"/>
        <w:right w:val="none" w:sz="0" w:space="0" w:color="auto"/>
      </w:divBdr>
    </w:div>
    <w:div w:id="1485195347">
      <w:bodyDiv w:val="1"/>
      <w:marLeft w:val="0"/>
      <w:marRight w:val="0"/>
      <w:marTop w:val="0"/>
      <w:marBottom w:val="0"/>
      <w:divBdr>
        <w:top w:val="none" w:sz="0" w:space="0" w:color="auto"/>
        <w:left w:val="none" w:sz="0" w:space="0" w:color="auto"/>
        <w:bottom w:val="none" w:sz="0" w:space="0" w:color="auto"/>
        <w:right w:val="none" w:sz="0" w:space="0" w:color="auto"/>
      </w:divBdr>
    </w:div>
    <w:div w:id="1539199747">
      <w:bodyDiv w:val="1"/>
      <w:marLeft w:val="0"/>
      <w:marRight w:val="0"/>
      <w:marTop w:val="0"/>
      <w:marBottom w:val="0"/>
      <w:divBdr>
        <w:top w:val="none" w:sz="0" w:space="0" w:color="auto"/>
        <w:left w:val="none" w:sz="0" w:space="0" w:color="auto"/>
        <w:bottom w:val="none" w:sz="0" w:space="0" w:color="auto"/>
        <w:right w:val="none" w:sz="0" w:space="0" w:color="auto"/>
      </w:divBdr>
    </w:div>
    <w:div w:id="1593320867">
      <w:bodyDiv w:val="1"/>
      <w:marLeft w:val="0"/>
      <w:marRight w:val="0"/>
      <w:marTop w:val="0"/>
      <w:marBottom w:val="0"/>
      <w:divBdr>
        <w:top w:val="none" w:sz="0" w:space="0" w:color="auto"/>
        <w:left w:val="none" w:sz="0" w:space="0" w:color="auto"/>
        <w:bottom w:val="none" w:sz="0" w:space="0" w:color="auto"/>
        <w:right w:val="none" w:sz="0" w:space="0" w:color="auto"/>
      </w:divBdr>
    </w:div>
    <w:div w:id="1619414697">
      <w:bodyDiv w:val="1"/>
      <w:marLeft w:val="0"/>
      <w:marRight w:val="0"/>
      <w:marTop w:val="0"/>
      <w:marBottom w:val="0"/>
      <w:divBdr>
        <w:top w:val="none" w:sz="0" w:space="0" w:color="auto"/>
        <w:left w:val="none" w:sz="0" w:space="0" w:color="auto"/>
        <w:bottom w:val="none" w:sz="0" w:space="0" w:color="auto"/>
        <w:right w:val="none" w:sz="0" w:space="0" w:color="auto"/>
      </w:divBdr>
    </w:div>
    <w:div w:id="1644385672">
      <w:bodyDiv w:val="1"/>
      <w:marLeft w:val="0"/>
      <w:marRight w:val="0"/>
      <w:marTop w:val="0"/>
      <w:marBottom w:val="0"/>
      <w:divBdr>
        <w:top w:val="none" w:sz="0" w:space="0" w:color="auto"/>
        <w:left w:val="none" w:sz="0" w:space="0" w:color="auto"/>
        <w:bottom w:val="none" w:sz="0" w:space="0" w:color="auto"/>
        <w:right w:val="none" w:sz="0" w:space="0" w:color="auto"/>
      </w:divBdr>
    </w:div>
    <w:div w:id="1758558475">
      <w:bodyDiv w:val="1"/>
      <w:marLeft w:val="0"/>
      <w:marRight w:val="0"/>
      <w:marTop w:val="0"/>
      <w:marBottom w:val="0"/>
      <w:divBdr>
        <w:top w:val="none" w:sz="0" w:space="0" w:color="auto"/>
        <w:left w:val="none" w:sz="0" w:space="0" w:color="auto"/>
        <w:bottom w:val="none" w:sz="0" w:space="0" w:color="auto"/>
        <w:right w:val="none" w:sz="0" w:space="0" w:color="auto"/>
      </w:divBdr>
    </w:div>
    <w:div w:id="1784881421">
      <w:bodyDiv w:val="1"/>
      <w:marLeft w:val="0"/>
      <w:marRight w:val="0"/>
      <w:marTop w:val="0"/>
      <w:marBottom w:val="0"/>
      <w:divBdr>
        <w:top w:val="none" w:sz="0" w:space="0" w:color="auto"/>
        <w:left w:val="none" w:sz="0" w:space="0" w:color="auto"/>
        <w:bottom w:val="none" w:sz="0" w:space="0" w:color="auto"/>
        <w:right w:val="none" w:sz="0" w:space="0" w:color="auto"/>
      </w:divBdr>
    </w:div>
    <w:div w:id="1815945453">
      <w:bodyDiv w:val="1"/>
      <w:marLeft w:val="0"/>
      <w:marRight w:val="0"/>
      <w:marTop w:val="0"/>
      <w:marBottom w:val="0"/>
      <w:divBdr>
        <w:top w:val="none" w:sz="0" w:space="0" w:color="auto"/>
        <w:left w:val="none" w:sz="0" w:space="0" w:color="auto"/>
        <w:bottom w:val="none" w:sz="0" w:space="0" w:color="auto"/>
        <w:right w:val="none" w:sz="0" w:space="0" w:color="auto"/>
      </w:divBdr>
    </w:div>
    <w:div w:id="1836261100">
      <w:bodyDiv w:val="1"/>
      <w:marLeft w:val="0"/>
      <w:marRight w:val="0"/>
      <w:marTop w:val="0"/>
      <w:marBottom w:val="0"/>
      <w:divBdr>
        <w:top w:val="none" w:sz="0" w:space="0" w:color="auto"/>
        <w:left w:val="none" w:sz="0" w:space="0" w:color="auto"/>
        <w:bottom w:val="none" w:sz="0" w:space="0" w:color="auto"/>
        <w:right w:val="none" w:sz="0" w:space="0" w:color="auto"/>
      </w:divBdr>
    </w:div>
    <w:div w:id="1880318991">
      <w:bodyDiv w:val="1"/>
      <w:marLeft w:val="0"/>
      <w:marRight w:val="0"/>
      <w:marTop w:val="0"/>
      <w:marBottom w:val="0"/>
      <w:divBdr>
        <w:top w:val="none" w:sz="0" w:space="0" w:color="auto"/>
        <w:left w:val="none" w:sz="0" w:space="0" w:color="auto"/>
        <w:bottom w:val="none" w:sz="0" w:space="0" w:color="auto"/>
        <w:right w:val="none" w:sz="0" w:space="0" w:color="auto"/>
      </w:divBdr>
    </w:div>
    <w:div w:id="1961065521">
      <w:bodyDiv w:val="1"/>
      <w:marLeft w:val="0"/>
      <w:marRight w:val="0"/>
      <w:marTop w:val="0"/>
      <w:marBottom w:val="0"/>
      <w:divBdr>
        <w:top w:val="none" w:sz="0" w:space="0" w:color="auto"/>
        <w:left w:val="none" w:sz="0" w:space="0" w:color="auto"/>
        <w:bottom w:val="none" w:sz="0" w:space="0" w:color="auto"/>
        <w:right w:val="none" w:sz="0" w:space="0" w:color="auto"/>
      </w:divBdr>
    </w:div>
    <w:div w:id="20168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858FA-5D02-4E30-B0A7-3AF16122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805</Words>
  <Characters>4433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VARGAS CHAPARRO</dc:creator>
  <cp:keywords/>
  <dc:description/>
  <cp:lastModifiedBy>Aon Riesgos Laborales</cp:lastModifiedBy>
  <cp:revision>4</cp:revision>
  <cp:lastPrinted>2019-04-12T18:01:00Z</cp:lastPrinted>
  <dcterms:created xsi:type="dcterms:W3CDTF">2023-03-18T02:28:00Z</dcterms:created>
  <dcterms:modified xsi:type="dcterms:W3CDTF">2023-04-19T19:47:00Z</dcterms:modified>
</cp:coreProperties>
</file>